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8C" w:rsidRDefault="00970936">
      <w:r>
        <w:t>Palliative Care MAR charts: information for health care professionals</w:t>
      </w:r>
    </w:p>
    <w:p w:rsidR="003E5946" w:rsidRPr="00CC488C" w:rsidRDefault="003E5946">
      <w:r w:rsidRPr="00882344">
        <w:rPr>
          <w:b/>
          <w:sz w:val="20"/>
          <w:szCs w:val="20"/>
        </w:rPr>
        <w:t>Why do we need a new chart?</w:t>
      </w:r>
    </w:p>
    <w:p w:rsidR="003E5946" w:rsidRPr="00882344" w:rsidRDefault="0093224E">
      <w:pPr>
        <w:rPr>
          <w:sz w:val="20"/>
          <w:szCs w:val="20"/>
        </w:rPr>
      </w:pPr>
      <w:r w:rsidRPr="00882344">
        <w:rPr>
          <w:sz w:val="20"/>
          <w:szCs w:val="20"/>
        </w:rPr>
        <w:t>A new palliative care MAR chart is now being used in Somerset.  These have been des</w:t>
      </w:r>
      <w:r w:rsidR="00EB5853" w:rsidRPr="00882344">
        <w:rPr>
          <w:sz w:val="20"/>
          <w:szCs w:val="20"/>
        </w:rPr>
        <w:t xml:space="preserve">igned following feedback, audit and </w:t>
      </w:r>
      <w:proofErr w:type="spellStart"/>
      <w:r w:rsidR="00EB5853" w:rsidRPr="00882344">
        <w:rPr>
          <w:sz w:val="20"/>
          <w:szCs w:val="20"/>
        </w:rPr>
        <w:t>datix</w:t>
      </w:r>
      <w:proofErr w:type="spellEnd"/>
      <w:r w:rsidR="00EB5853" w:rsidRPr="00882344">
        <w:rPr>
          <w:sz w:val="20"/>
          <w:szCs w:val="20"/>
        </w:rPr>
        <w:t xml:space="preserve"> reviews relating to prescribing.</w:t>
      </w:r>
      <w:r w:rsidR="001E697B" w:rsidRPr="00882344">
        <w:rPr>
          <w:sz w:val="20"/>
          <w:szCs w:val="20"/>
        </w:rPr>
        <w:t xml:space="preserve">  They are ready to use and are being used in many areas</w:t>
      </w:r>
      <w:r w:rsidR="00CE34AA" w:rsidRPr="00882344">
        <w:rPr>
          <w:sz w:val="20"/>
          <w:szCs w:val="20"/>
        </w:rPr>
        <w:t xml:space="preserve"> in the county already</w:t>
      </w:r>
      <w:r w:rsidR="001E697B" w:rsidRPr="00882344">
        <w:rPr>
          <w:sz w:val="20"/>
          <w:szCs w:val="20"/>
        </w:rPr>
        <w:t xml:space="preserve">.  </w:t>
      </w:r>
    </w:p>
    <w:p w:rsidR="00EB5853" w:rsidRPr="00882344" w:rsidRDefault="00EB5853">
      <w:pPr>
        <w:rPr>
          <w:sz w:val="20"/>
          <w:szCs w:val="20"/>
        </w:rPr>
      </w:pPr>
      <w:r w:rsidRPr="00882344">
        <w:rPr>
          <w:sz w:val="20"/>
          <w:szCs w:val="20"/>
        </w:rPr>
        <w:t xml:space="preserve">The chart has the current Somerset Just in Case </w:t>
      </w:r>
      <w:r w:rsidR="000A625A" w:rsidRPr="00882344">
        <w:rPr>
          <w:sz w:val="20"/>
          <w:szCs w:val="20"/>
        </w:rPr>
        <w:t>(JIC) p</w:t>
      </w:r>
      <w:r w:rsidRPr="00882344">
        <w:rPr>
          <w:sz w:val="20"/>
          <w:szCs w:val="20"/>
        </w:rPr>
        <w:t xml:space="preserve">rescribing guidance on the front sheet. </w:t>
      </w:r>
      <w:r w:rsidR="003E5946" w:rsidRPr="00882344">
        <w:rPr>
          <w:sz w:val="20"/>
          <w:szCs w:val="20"/>
        </w:rPr>
        <w:t xml:space="preserve">This provides the first line options for just in case prescribing. </w:t>
      </w:r>
      <w:r w:rsidRPr="00882344">
        <w:rPr>
          <w:sz w:val="20"/>
          <w:szCs w:val="20"/>
        </w:rPr>
        <w:t xml:space="preserve"> The first full page is for the </w:t>
      </w:r>
      <w:proofErr w:type="spellStart"/>
      <w:r w:rsidRPr="00882344">
        <w:rPr>
          <w:sz w:val="20"/>
          <w:szCs w:val="20"/>
        </w:rPr>
        <w:t>sc</w:t>
      </w:r>
      <w:proofErr w:type="spellEnd"/>
      <w:r w:rsidRPr="00882344">
        <w:rPr>
          <w:sz w:val="20"/>
          <w:szCs w:val="20"/>
        </w:rPr>
        <w:t xml:space="preserve"> prn</w:t>
      </w:r>
      <w:r w:rsidR="000522B6">
        <w:rPr>
          <w:sz w:val="20"/>
          <w:szCs w:val="20"/>
        </w:rPr>
        <w:t xml:space="preserve"> JIC</w:t>
      </w:r>
      <w:r w:rsidRPr="00882344">
        <w:rPr>
          <w:sz w:val="20"/>
          <w:szCs w:val="20"/>
        </w:rPr>
        <w:t xml:space="preserve"> medication.  The next 2 full pages are for syringe pump prescriptions.  This includes guidance on safe syringe pump prescribing.  On the back is the opioid conversion information.</w:t>
      </w:r>
    </w:p>
    <w:p w:rsidR="003E5946" w:rsidRPr="00882344" w:rsidRDefault="003E5946">
      <w:pPr>
        <w:rPr>
          <w:b/>
          <w:sz w:val="20"/>
          <w:szCs w:val="20"/>
        </w:rPr>
      </w:pPr>
      <w:r w:rsidRPr="00882344">
        <w:rPr>
          <w:b/>
          <w:sz w:val="20"/>
          <w:szCs w:val="20"/>
        </w:rPr>
        <w:t>When should they be used?</w:t>
      </w:r>
    </w:p>
    <w:p w:rsidR="00EB5853" w:rsidRPr="00882344" w:rsidRDefault="00EB5853">
      <w:pPr>
        <w:rPr>
          <w:sz w:val="20"/>
          <w:szCs w:val="20"/>
        </w:rPr>
      </w:pPr>
      <w:r w:rsidRPr="00882344">
        <w:rPr>
          <w:sz w:val="20"/>
          <w:szCs w:val="20"/>
        </w:rPr>
        <w:t xml:space="preserve">The charts are only for prescription and administration of sc medications for palliative care patients </w:t>
      </w:r>
      <w:r w:rsidR="00DA2294" w:rsidRPr="00882344">
        <w:rPr>
          <w:sz w:val="20"/>
          <w:szCs w:val="20"/>
        </w:rPr>
        <w:t xml:space="preserve">for their </w:t>
      </w:r>
      <w:r w:rsidRPr="00882344">
        <w:rPr>
          <w:sz w:val="20"/>
          <w:szCs w:val="20"/>
        </w:rPr>
        <w:t xml:space="preserve">injectable medication to maintain symptom control.  They are not for administration of oral or transdermal medication or </w:t>
      </w:r>
      <w:r w:rsidR="00DA2294" w:rsidRPr="00882344">
        <w:rPr>
          <w:sz w:val="20"/>
          <w:szCs w:val="20"/>
        </w:rPr>
        <w:t xml:space="preserve">other sc injections such as </w:t>
      </w:r>
      <w:proofErr w:type="spellStart"/>
      <w:r w:rsidRPr="00882344">
        <w:rPr>
          <w:sz w:val="20"/>
          <w:szCs w:val="20"/>
        </w:rPr>
        <w:t>clexane</w:t>
      </w:r>
      <w:proofErr w:type="spellEnd"/>
      <w:r w:rsidR="000A625A" w:rsidRPr="00882344">
        <w:rPr>
          <w:sz w:val="20"/>
          <w:szCs w:val="20"/>
        </w:rPr>
        <w:t>: t</w:t>
      </w:r>
      <w:r w:rsidRPr="00882344">
        <w:rPr>
          <w:sz w:val="20"/>
          <w:szCs w:val="20"/>
        </w:rPr>
        <w:t xml:space="preserve">hese </w:t>
      </w:r>
      <w:r w:rsidR="001E697B" w:rsidRPr="00882344">
        <w:rPr>
          <w:sz w:val="20"/>
          <w:szCs w:val="20"/>
        </w:rPr>
        <w:t xml:space="preserve">prescriptions </w:t>
      </w:r>
      <w:r w:rsidRPr="00882344">
        <w:rPr>
          <w:sz w:val="20"/>
          <w:szCs w:val="20"/>
        </w:rPr>
        <w:t>should be on the existing purple MAR.</w:t>
      </w:r>
    </w:p>
    <w:p w:rsidR="00AE2621" w:rsidRPr="00882344" w:rsidRDefault="00EB5853">
      <w:pPr>
        <w:rPr>
          <w:sz w:val="20"/>
          <w:szCs w:val="20"/>
        </w:rPr>
      </w:pPr>
      <w:r w:rsidRPr="00882344">
        <w:rPr>
          <w:sz w:val="20"/>
          <w:szCs w:val="20"/>
        </w:rPr>
        <w:t>They are available for use in the community setting.  Patients being discharged from acute hospitals with JIC medication should have t</w:t>
      </w:r>
      <w:r w:rsidR="003E5946" w:rsidRPr="00882344">
        <w:rPr>
          <w:sz w:val="20"/>
          <w:szCs w:val="20"/>
        </w:rPr>
        <w:t xml:space="preserve">his </w:t>
      </w:r>
      <w:r w:rsidRPr="00882344">
        <w:rPr>
          <w:sz w:val="20"/>
          <w:szCs w:val="20"/>
        </w:rPr>
        <w:t xml:space="preserve">medication prescribed on this chart, as should those being transferred from community hospital to home.  </w:t>
      </w:r>
      <w:r w:rsidR="003E5946" w:rsidRPr="00882344">
        <w:rPr>
          <w:sz w:val="20"/>
          <w:szCs w:val="20"/>
        </w:rPr>
        <w:t>These charts are also used for any syringe pump prescription.</w:t>
      </w:r>
    </w:p>
    <w:p w:rsidR="00EB5853" w:rsidRPr="00882344" w:rsidRDefault="00AE2621">
      <w:pPr>
        <w:rPr>
          <w:sz w:val="20"/>
          <w:szCs w:val="20"/>
        </w:rPr>
      </w:pPr>
      <w:r w:rsidRPr="00882344">
        <w:rPr>
          <w:sz w:val="20"/>
          <w:szCs w:val="20"/>
        </w:rPr>
        <w:t xml:space="preserve">In community hospitals, palliative MAR charts should be used for patients who require a syringe driver as the electronic system does not manage syringe drivers well.  In this situation, other medication should be recorded on a purple MAR chart.  </w:t>
      </w:r>
      <w:r w:rsidR="00EB5853" w:rsidRPr="00882344">
        <w:rPr>
          <w:sz w:val="20"/>
          <w:szCs w:val="20"/>
        </w:rPr>
        <w:t>They do not replace electronic prescribing or acute hospital MAR charts.</w:t>
      </w:r>
    </w:p>
    <w:p w:rsidR="003E5946" w:rsidRPr="00882344" w:rsidRDefault="003E5946">
      <w:pPr>
        <w:rPr>
          <w:b/>
          <w:sz w:val="20"/>
          <w:szCs w:val="20"/>
        </w:rPr>
      </w:pPr>
      <w:r w:rsidRPr="00882344">
        <w:rPr>
          <w:b/>
          <w:sz w:val="20"/>
          <w:szCs w:val="20"/>
        </w:rPr>
        <w:t>What should we do with existing purple MAR charts?</w:t>
      </w:r>
    </w:p>
    <w:p w:rsidR="00EB5853" w:rsidRPr="00882344" w:rsidRDefault="00EB5853">
      <w:pPr>
        <w:rPr>
          <w:sz w:val="20"/>
          <w:szCs w:val="20"/>
        </w:rPr>
      </w:pPr>
      <w:r w:rsidRPr="00882344">
        <w:rPr>
          <w:sz w:val="20"/>
          <w:szCs w:val="20"/>
        </w:rPr>
        <w:t>If a patient has an existing purple MAR chart with JIC medications prescribed, there is no need to transcribe this onto a new chart.  If the purple chart needs to be rewritten then the new chart should be used.</w:t>
      </w:r>
    </w:p>
    <w:p w:rsidR="003E5946" w:rsidRPr="00882344" w:rsidRDefault="003E5946">
      <w:pPr>
        <w:rPr>
          <w:b/>
          <w:sz w:val="20"/>
          <w:szCs w:val="20"/>
        </w:rPr>
      </w:pPr>
      <w:r w:rsidRPr="00882344">
        <w:rPr>
          <w:b/>
          <w:sz w:val="20"/>
          <w:szCs w:val="20"/>
        </w:rPr>
        <w:t>How do we get hold of the new charts?</w:t>
      </w:r>
    </w:p>
    <w:p w:rsidR="001E697B" w:rsidRPr="00882344" w:rsidRDefault="00EB5853">
      <w:pPr>
        <w:rPr>
          <w:sz w:val="20"/>
          <w:szCs w:val="20"/>
        </w:rPr>
      </w:pPr>
      <w:r w:rsidRPr="00882344">
        <w:rPr>
          <w:sz w:val="20"/>
          <w:szCs w:val="20"/>
        </w:rPr>
        <w:t xml:space="preserve">The charts are now available to order on </w:t>
      </w:r>
      <w:r w:rsidR="00AE2621" w:rsidRPr="00882344">
        <w:rPr>
          <w:sz w:val="20"/>
          <w:szCs w:val="20"/>
        </w:rPr>
        <w:t>I</w:t>
      </w:r>
      <w:r w:rsidRPr="00882344">
        <w:rPr>
          <w:sz w:val="20"/>
          <w:szCs w:val="20"/>
        </w:rPr>
        <w:t>ntegra</w:t>
      </w:r>
      <w:r w:rsidR="001D676D" w:rsidRPr="00882344">
        <w:rPr>
          <w:sz w:val="20"/>
          <w:szCs w:val="20"/>
        </w:rPr>
        <w:t xml:space="preserve"> (code CSP076295)</w:t>
      </w:r>
      <w:r w:rsidRPr="00882344">
        <w:rPr>
          <w:sz w:val="20"/>
          <w:szCs w:val="20"/>
        </w:rPr>
        <w:t xml:space="preserve">.  Each DN hub will order a supply and will continue to use existing </w:t>
      </w:r>
      <w:r w:rsidR="001E697B" w:rsidRPr="00882344">
        <w:rPr>
          <w:sz w:val="20"/>
          <w:szCs w:val="20"/>
        </w:rPr>
        <w:t xml:space="preserve">local </w:t>
      </w:r>
      <w:r w:rsidRPr="00882344">
        <w:rPr>
          <w:sz w:val="20"/>
          <w:szCs w:val="20"/>
        </w:rPr>
        <w:t xml:space="preserve">processes </w:t>
      </w:r>
      <w:r w:rsidR="003E5946" w:rsidRPr="00882344">
        <w:rPr>
          <w:sz w:val="20"/>
          <w:szCs w:val="20"/>
        </w:rPr>
        <w:t>to provide these to the</w:t>
      </w:r>
      <w:r w:rsidRPr="00882344">
        <w:rPr>
          <w:sz w:val="20"/>
          <w:szCs w:val="20"/>
        </w:rPr>
        <w:t xml:space="preserve"> GP surgeries to ensure timely </w:t>
      </w:r>
      <w:r w:rsidR="001E697B" w:rsidRPr="00882344">
        <w:rPr>
          <w:sz w:val="20"/>
          <w:szCs w:val="20"/>
        </w:rPr>
        <w:t>provision of JIC medication in the community setting.  The discharge and palliative care teams in the acute hospitals will be issued with a supply from the</w:t>
      </w:r>
      <w:r w:rsidR="003E5946" w:rsidRPr="00882344">
        <w:rPr>
          <w:sz w:val="20"/>
          <w:szCs w:val="20"/>
        </w:rPr>
        <w:t xml:space="preserve">ir local </w:t>
      </w:r>
      <w:r w:rsidR="001E697B" w:rsidRPr="00882344">
        <w:rPr>
          <w:sz w:val="20"/>
          <w:szCs w:val="20"/>
        </w:rPr>
        <w:t>DN hubs.</w:t>
      </w:r>
      <w:r w:rsidR="003E5946" w:rsidRPr="00882344">
        <w:rPr>
          <w:sz w:val="20"/>
          <w:szCs w:val="20"/>
        </w:rPr>
        <w:t xml:space="preserve"> These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3221"/>
        <w:gridCol w:w="2848"/>
      </w:tblGrid>
      <w:tr w:rsidR="000522B6" w:rsidRPr="00882344" w:rsidTr="000522B6">
        <w:tc>
          <w:tcPr>
            <w:tcW w:w="3173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 w:rsidRPr="00882344">
              <w:rPr>
                <w:sz w:val="20"/>
                <w:szCs w:val="20"/>
              </w:rPr>
              <w:t>Musgrove</w:t>
            </w:r>
          </w:p>
        </w:tc>
        <w:tc>
          <w:tcPr>
            <w:tcW w:w="3221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 w:rsidRPr="00882344">
              <w:rPr>
                <w:sz w:val="20"/>
                <w:szCs w:val="20"/>
              </w:rPr>
              <w:t xml:space="preserve">Taunton DN Hub at </w:t>
            </w:r>
            <w:proofErr w:type="spellStart"/>
            <w:r w:rsidRPr="00882344">
              <w:rPr>
                <w:sz w:val="20"/>
                <w:szCs w:val="20"/>
              </w:rPr>
              <w:t>Parkgate</w:t>
            </w:r>
            <w:proofErr w:type="spellEnd"/>
          </w:p>
        </w:tc>
        <w:tc>
          <w:tcPr>
            <w:tcW w:w="2848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0300 323 0026</w:t>
            </w:r>
          </w:p>
        </w:tc>
      </w:tr>
      <w:tr w:rsidR="000522B6" w:rsidRPr="00882344" w:rsidTr="000522B6">
        <w:tc>
          <w:tcPr>
            <w:tcW w:w="3173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 w:rsidRPr="00882344">
              <w:rPr>
                <w:sz w:val="20"/>
                <w:szCs w:val="20"/>
              </w:rPr>
              <w:t>YDH</w:t>
            </w:r>
          </w:p>
        </w:tc>
        <w:tc>
          <w:tcPr>
            <w:tcW w:w="3221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 w:rsidRPr="00882344">
              <w:rPr>
                <w:sz w:val="20"/>
                <w:szCs w:val="20"/>
              </w:rPr>
              <w:t>South Somerset Yeovil DN Hub at Magnolia</w:t>
            </w:r>
          </w:p>
        </w:tc>
        <w:tc>
          <w:tcPr>
            <w:tcW w:w="2848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0300 323 0020</w:t>
            </w:r>
          </w:p>
        </w:tc>
      </w:tr>
      <w:tr w:rsidR="000522B6" w:rsidRPr="00882344" w:rsidTr="000522B6">
        <w:tc>
          <w:tcPr>
            <w:tcW w:w="3173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 w:rsidRPr="00882344">
              <w:rPr>
                <w:sz w:val="20"/>
                <w:szCs w:val="20"/>
              </w:rPr>
              <w:t>Weston</w:t>
            </w:r>
          </w:p>
        </w:tc>
        <w:tc>
          <w:tcPr>
            <w:tcW w:w="3221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 w:rsidRPr="00882344">
              <w:rPr>
                <w:sz w:val="20"/>
                <w:szCs w:val="20"/>
              </w:rPr>
              <w:t>North Sedgemoor DN Hub at Peter Holmes</w:t>
            </w:r>
          </w:p>
        </w:tc>
        <w:tc>
          <w:tcPr>
            <w:tcW w:w="2848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0300 323 0025</w:t>
            </w:r>
          </w:p>
        </w:tc>
      </w:tr>
      <w:tr w:rsidR="000522B6" w:rsidRPr="00882344" w:rsidTr="000522B6">
        <w:tc>
          <w:tcPr>
            <w:tcW w:w="3173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 w:rsidRPr="00882344">
              <w:rPr>
                <w:sz w:val="20"/>
                <w:szCs w:val="20"/>
              </w:rPr>
              <w:t>RUH</w:t>
            </w:r>
          </w:p>
        </w:tc>
        <w:tc>
          <w:tcPr>
            <w:tcW w:w="3221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 w:rsidRPr="00882344">
              <w:rPr>
                <w:sz w:val="20"/>
                <w:szCs w:val="20"/>
              </w:rPr>
              <w:t>East Mendip DNs at Frome GP practice</w:t>
            </w:r>
          </w:p>
        </w:tc>
        <w:tc>
          <w:tcPr>
            <w:tcW w:w="2848" w:type="dxa"/>
          </w:tcPr>
          <w:p w:rsidR="000522B6" w:rsidRPr="00882344" w:rsidRDefault="0005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0300 323 0117</w:t>
            </w:r>
          </w:p>
        </w:tc>
      </w:tr>
    </w:tbl>
    <w:p w:rsidR="000A625A" w:rsidRDefault="000A625A">
      <w:pPr>
        <w:rPr>
          <w:sz w:val="20"/>
          <w:szCs w:val="20"/>
        </w:rPr>
      </w:pPr>
    </w:p>
    <w:p w:rsidR="00882344" w:rsidRPr="00882344" w:rsidRDefault="00882344">
      <w:pPr>
        <w:rPr>
          <w:sz w:val="20"/>
          <w:szCs w:val="20"/>
        </w:rPr>
      </w:pPr>
      <w:r>
        <w:rPr>
          <w:sz w:val="20"/>
          <w:szCs w:val="20"/>
        </w:rPr>
        <w:t>The out of hours</w:t>
      </w:r>
      <w:r w:rsidR="00E37CC9">
        <w:rPr>
          <w:sz w:val="20"/>
          <w:szCs w:val="20"/>
        </w:rPr>
        <w:t xml:space="preserve"> GP</w:t>
      </w:r>
      <w:r>
        <w:rPr>
          <w:sz w:val="20"/>
          <w:szCs w:val="20"/>
        </w:rPr>
        <w:t xml:space="preserve"> service and ambulance service will be supplied by the palliative care team.  Contact </w:t>
      </w:r>
      <w:hyperlink r:id="rId8" w:history="1">
        <w:r w:rsidR="003A69FB" w:rsidRPr="00A12C37">
          <w:rPr>
            <w:rStyle w:val="Hyperlink"/>
            <w:sz w:val="20"/>
            <w:szCs w:val="20"/>
          </w:rPr>
          <w:t>rachel.cook@sompar.nhs.uk</w:t>
        </w:r>
      </w:hyperlink>
      <w:r w:rsidR="003A69FB">
        <w:rPr>
          <w:sz w:val="20"/>
          <w:szCs w:val="20"/>
        </w:rPr>
        <w:t xml:space="preserve">.  Hospice teams can access the charts through DN hubs.  </w:t>
      </w:r>
    </w:p>
    <w:p w:rsidR="001E697B" w:rsidRDefault="000A625A">
      <w:pPr>
        <w:rPr>
          <w:sz w:val="20"/>
          <w:szCs w:val="20"/>
        </w:rPr>
      </w:pPr>
      <w:r w:rsidRPr="00882344">
        <w:rPr>
          <w:sz w:val="20"/>
          <w:szCs w:val="20"/>
        </w:rPr>
        <w:t>A</w:t>
      </w:r>
      <w:r w:rsidR="001E697B" w:rsidRPr="00882344">
        <w:rPr>
          <w:sz w:val="20"/>
          <w:szCs w:val="20"/>
        </w:rPr>
        <w:t xml:space="preserve"> pilot of a version of the chart that is printable in a GP surgery</w:t>
      </w:r>
      <w:r w:rsidR="00CE34AA" w:rsidRPr="00882344">
        <w:rPr>
          <w:sz w:val="20"/>
          <w:szCs w:val="20"/>
        </w:rPr>
        <w:t xml:space="preserve"> is planned</w:t>
      </w:r>
      <w:r w:rsidR="00882344">
        <w:rPr>
          <w:sz w:val="20"/>
          <w:szCs w:val="20"/>
        </w:rPr>
        <w:t xml:space="preserve"> and</w:t>
      </w:r>
      <w:r w:rsidR="001E697B" w:rsidRPr="00882344">
        <w:rPr>
          <w:sz w:val="20"/>
          <w:szCs w:val="20"/>
        </w:rPr>
        <w:t xml:space="preserve"> is subject to further development.</w:t>
      </w:r>
    </w:p>
    <w:p w:rsidR="009435E0" w:rsidRDefault="009435E0">
      <w:pPr>
        <w:rPr>
          <w:sz w:val="20"/>
          <w:szCs w:val="20"/>
        </w:rPr>
      </w:pPr>
    </w:p>
    <w:p w:rsidR="009435E0" w:rsidRPr="00882344" w:rsidRDefault="009435E0">
      <w:pPr>
        <w:rPr>
          <w:sz w:val="20"/>
          <w:szCs w:val="20"/>
        </w:rPr>
      </w:pPr>
      <w:bookmarkStart w:id="0" w:name="_GoBack"/>
      <w:bookmarkEnd w:id="0"/>
    </w:p>
    <w:p w:rsidR="001E697B" w:rsidRPr="00882344" w:rsidRDefault="001E697B">
      <w:pPr>
        <w:rPr>
          <w:sz w:val="20"/>
          <w:szCs w:val="20"/>
        </w:rPr>
      </w:pPr>
    </w:p>
    <w:p w:rsidR="001E697B" w:rsidRPr="00882344" w:rsidRDefault="00E37C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B5853" w:rsidRPr="00882344" w:rsidRDefault="00EB5853">
      <w:pPr>
        <w:rPr>
          <w:sz w:val="20"/>
          <w:szCs w:val="20"/>
        </w:rPr>
      </w:pPr>
      <w:r w:rsidRPr="00882344">
        <w:rPr>
          <w:sz w:val="20"/>
          <w:szCs w:val="20"/>
        </w:rPr>
        <w:lastRenderedPageBreak/>
        <w:t xml:space="preserve"> </w:t>
      </w:r>
    </w:p>
    <w:p w:rsidR="00EB5853" w:rsidRPr="00882344" w:rsidRDefault="00EB5853">
      <w:pPr>
        <w:rPr>
          <w:sz w:val="20"/>
          <w:szCs w:val="20"/>
        </w:rPr>
      </w:pPr>
    </w:p>
    <w:sectPr w:rsidR="00EB5853" w:rsidRPr="00882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44" w:rsidRDefault="004C6A44" w:rsidP="004C6A44">
      <w:pPr>
        <w:spacing w:after="0" w:line="240" w:lineRule="auto"/>
      </w:pPr>
      <w:r>
        <w:separator/>
      </w:r>
    </w:p>
  </w:endnote>
  <w:endnote w:type="continuationSeparator" w:id="0">
    <w:p w:rsidR="004C6A44" w:rsidRDefault="004C6A44" w:rsidP="004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E0" w:rsidRDefault="00943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44" w:rsidRDefault="004C6A44">
    <w:pPr>
      <w:pStyle w:val="Footer"/>
    </w:pPr>
  </w:p>
  <w:p w:rsidR="009435E0" w:rsidRDefault="00943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E0" w:rsidRDefault="0094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44" w:rsidRDefault="004C6A44" w:rsidP="004C6A44">
      <w:pPr>
        <w:spacing w:after="0" w:line="240" w:lineRule="auto"/>
      </w:pPr>
      <w:r>
        <w:separator/>
      </w:r>
    </w:p>
  </w:footnote>
  <w:footnote w:type="continuationSeparator" w:id="0">
    <w:p w:rsidR="004C6A44" w:rsidRDefault="004C6A44" w:rsidP="004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E0" w:rsidRDefault="00943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47" w:rsidRDefault="002D6347">
    <w:pPr>
      <w:pStyle w:val="Header"/>
    </w:pPr>
  </w:p>
  <w:p w:rsidR="009435E0" w:rsidRDefault="00943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E0" w:rsidRDefault="00943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E"/>
    <w:rsid w:val="000522B6"/>
    <w:rsid w:val="000A625A"/>
    <w:rsid w:val="000E4BF6"/>
    <w:rsid w:val="001D676D"/>
    <w:rsid w:val="001E697B"/>
    <w:rsid w:val="00211CC6"/>
    <w:rsid w:val="002D6347"/>
    <w:rsid w:val="003A69FB"/>
    <w:rsid w:val="003E5946"/>
    <w:rsid w:val="00492C52"/>
    <w:rsid w:val="004C6A44"/>
    <w:rsid w:val="00525C36"/>
    <w:rsid w:val="005B559B"/>
    <w:rsid w:val="00675605"/>
    <w:rsid w:val="008770A0"/>
    <w:rsid w:val="00882344"/>
    <w:rsid w:val="0093224E"/>
    <w:rsid w:val="009435E0"/>
    <w:rsid w:val="00945A96"/>
    <w:rsid w:val="00970936"/>
    <w:rsid w:val="00AE2621"/>
    <w:rsid w:val="00CC488C"/>
    <w:rsid w:val="00CE34AA"/>
    <w:rsid w:val="00DA2294"/>
    <w:rsid w:val="00E37CC9"/>
    <w:rsid w:val="00EA466D"/>
    <w:rsid w:val="00E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44"/>
  </w:style>
  <w:style w:type="paragraph" w:styleId="Footer">
    <w:name w:val="footer"/>
    <w:basedOn w:val="Normal"/>
    <w:link w:val="FooterChar"/>
    <w:uiPriority w:val="99"/>
    <w:unhideWhenUsed/>
    <w:rsid w:val="004C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44"/>
  </w:style>
  <w:style w:type="paragraph" w:styleId="Footer">
    <w:name w:val="footer"/>
    <w:basedOn w:val="Normal"/>
    <w:link w:val="FooterChar"/>
    <w:uiPriority w:val="99"/>
    <w:unhideWhenUsed/>
    <w:rsid w:val="004C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cook@sompar.nhs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531A-66F7-476C-BA24-7A9F45CC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4194A323</Template>
  <TotalTime>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Leask Catherine (Somerset Partnership)</dc:creator>
  <cp:lastModifiedBy>Leask Catherine (Somerset Partnership)</cp:lastModifiedBy>
  <cp:revision>3</cp:revision>
  <dcterms:created xsi:type="dcterms:W3CDTF">2018-10-02T10:21:00Z</dcterms:created>
  <dcterms:modified xsi:type="dcterms:W3CDTF">2018-10-04T11:34:00Z</dcterms:modified>
</cp:coreProperties>
</file>