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86" w:rsidRDefault="004A1F86" w:rsidP="00761F90"/>
    <w:tbl>
      <w:tblPr>
        <w:tblW w:w="12928" w:type="dxa"/>
        <w:tblInd w:w="-170" w:type="dxa"/>
        <w:tblLayout w:type="fixed"/>
        <w:tblCellMar>
          <w:left w:w="0" w:type="dxa"/>
          <w:right w:w="0" w:type="dxa"/>
        </w:tblCellMar>
        <w:tblLook w:val="00A0" w:firstRow="1" w:lastRow="0" w:firstColumn="1" w:lastColumn="0" w:noHBand="0" w:noVBand="0"/>
      </w:tblPr>
      <w:tblGrid>
        <w:gridCol w:w="5699"/>
        <w:gridCol w:w="2410"/>
        <w:gridCol w:w="141"/>
        <w:gridCol w:w="4678"/>
      </w:tblGrid>
      <w:tr w:rsidR="004A1F86" w:rsidRPr="00541DE6" w:rsidTr="007A3629">
        <w:trPr>
          <w:trHeight w:hRule="exact" w:val="1248"/>
        </w:trPr>
        <w:tc>
          <w:tcPr>
            <w:tcW w:w="5699" w:type="dxa"/>
            <w:tcMar>
              <w:left w:w="0" w:type="dxa"/>
              <w:right w:w="0" w:type="dxa"/>
            </w:tcMar>
          </w:tcPr>
          <w:p w:rsidR="004A1F86" w:rsidRPr="000B0E5B" w:rsidRDefault="004A1F86" w:rsidP="00761F90">
            <w:pPr>
              <w:pStyle w:val="Header"/>
            </w:pPr>
          </w:p>
        </w:tc>
        <w:tc>
          <w:tcPr>
            <w:tcW w:w="2410" w:type="dxa"/>
          </w:tcPr>
          <w:p w:rsidR="004A1F86" w:rsidRPr="000B0E5B" w:rsidRDefault="007A3629" w:rsidP="00761F90">
            <w:pPr>
              <w:pStyle w:val="Header"/>
            </w:pPr>
            <w:r>
              <w:t>Health Protection Team</w:t>
            </w:r>
          </w:p>
          <w:p w:rsidR="004A1F86" w:rsidRPr="000B0E5B" w:rsidRDefault="007A3629" w:rsidP="00761F90">
            <w:pPr>
              <w:pStyle w:val="Header"/>
            </w:pPr>
            <w:r>
              <w:t>Public Health England South West  (South)</w:t>
            </w:r>
          </w:p>
          <w:p w:rsidR="004A1F86" w:rsidRPr="000B0E5B" w:rsidRDefault="007A3629" w:rsidP="00761F90">
            <w:pPr>
              <w:pStyle w:val="Header"/>
            </w:pPr>
            <w:r>
              <w:t>Follaton House</w:t>
            </w:r>
          </w:p>
          <w:p w:rsidR="004A1F86" w:rsidRPr="000B0E5B" w:rsidRDefault="007A3629" w:rsidP="00761F90">
            <w:pPr>
              <w:pStyle w:val="Header"/>
            </w:pPr>
            <w:r>
              <w:t>Totnes TQ5 5HE</w:t>
            </w:r>
          </w:p>
          <w:p w:rsidR="004A1F86" w:rsidRPr="000B0E5B" w:rsidRDefault="004A1F86" w:rsidP="00761F90">
            <w:pPr>
              <w:pStyle w:val="Header"/>
            </w:pPr>
          </w:p>
        </w:tc>
        <w:tc>
          <w:tcPr>
            <w:tcW w:w="141" w:type="dxa"/>
          </w:tcPr>
          <w:p w:rsidR="004A1F86" w:rsidRPr="000B0E5B" w:rsidRDefault="004A1F86" w:rsidP="00761F90">
            <w:pPr>
              <w:pStyle w:val="Header"/>
            </w:pPr>
          </w:p>
        </w:tc>
        <w:tc>
          <w:tcPr>
            <w:tcW w:w="4678" w:type="dxa"/>
            <w:tcMar>
              <w:left w:w="0" w:type="dxa"/>
              <w:right w:w="0" w:type="dxa"/>
            </w:tcMar>
          </w:tcPr>
          <w:p w:rsidR="004A1F86" w:rsidRPr="000B0E5B" w:rsidRDefault="004A1F86" w:rsidP="00761F90">
            <w:pPr>
              <w:pStyle w:val="Header"/>
            </w:pPr>
            <w:r w:rsidRPr="000B0E5B">
              <w:t>T  +44 (0)</w:t>
            </w:r>
            <w:r w:rsidR="007A3629">
              <w:t>3</w:t>
            </w:r>
            <w:r w:rsidRPr="000B0E5B">
              <w:t>0</w:t>
            </w:r>
            <w:r w:rsidR="00422DE5">
              <w:t xml:space="preserve">0 </w:t>
            </w:r>
            <w:r w:rsidR="007A3629">
              <w:t>303 8162</w:t>
            </w:r>
          </w:p>
          <w:p w:rsidR="004A1F86" w:rsidRPr="000B0E5B" w:rsidRDefault="007A3629" w:rsidP="00761F90">
            <w:pPr>
              <w:pStyle w:val="Header"/>
            </w:pPr>
            <w:r>
              <w:t>F  +44 (0)1392 367 356</w:t>
            </w:r>
          </w:p>
          <w:p w:rsidR="004A1F86" w:rsidRPr="000B0E5B" w:rsidRDefault="004A1F86" w:rsidP="00761F90">
            <w:pPr>
              <w:pStyle w:val="Header"/>
            </w:pPr>
          </w:p>
          <w:p w:rsidR="004A1F86" w:rsidRPr="000B0E5B" w:rsidRDefault="003F56E8" w:rsidP="00761F90">
            <w:pPr>
              <w:pStyle w:val="Header"/>
              <w:rPr>
                <w:color w:val="005ABB"/>
              </w:rPr>
            </w:pPr>
            <w:hyperlink r:id="rId8" w:history="1">
              <w:r w:rsidR="00CC1EF2" w:rsidRPr="00D07E09">
                <w:rPr>
                  <w:rStyle w:val="Hyperlink"/>
                </w:rPr>
                <w:t>www.gov.uk/phe</w:t>
              </w:r>
            </w:hyperlink>
            <w:r w:rsidR="00CC1EF2">
              <w:t xml:space="preserve"> </w:t>
            </w:r>
          </w:p>
        </w:tc>
      </w:tr>
    </w:tbl>
    <w:p w:rsidR="004A1F86" w:rsidRDefault="004A1F86" w:rsidP="00761F90">
      <w:pPr>
        <w:rPr>
          <w:rFonts w:cs="Arial"/>
        </w:rPr>
      </w:pPr>
    </w:p>
    <w:p w:rsidR="00875DE9" w:rsidRDefault="00875DE9" w:rsidP="00875DE9">
      <w:pPr>
        <w:rPr>
          <w:rFonts w:cs="Arial"/>
        </w:rPr>
      </w:pPr>
      <w:r>
        <w:rPr>
          <w:rFonts w:cs="Arial"/>
        </w:rPr>
        <w:t>RECIPIENT LIST</w:t>
      </w:r>
    </w:p>
    <w:p w:rsidR="00875DE9" w:rsidRPr="007A3629" w:rsidRDefault="00875DE9" w:rsidP="00875DE9">
      <w:pPr>
        <w:rPr>
          <w:rFonts w:cs="Arial"/>
        </w:rPr>
      </w:pPr>
    </w:p>
    <w:p w:rsidR="00875DE9" w:rsidRPr="007A3629" w:rsidRDefault="00875DE9" w:rsidP="00875DE9">
      <w:pPr>
        <w:rPr>
          <w:rFonts w:cs="Arial"/>
        </w:rPr>
      </w:pPr>
      <w:r w:rsidRPr="007A3629">
        <w:rPr>
          <w:rFonts w:cs="Arial"/>
        </w:rPr>
        <w:t>23</w:t>
      </w:r>
      <w:r w:rsidRPr="007A3629">
        <w:rPr>
          <w:rFonts w:cs="Arial"/>
          <w:vertAlign w:val="superscript"/>
        </w:rPr>
        <w:t>rd</w:t>
      </w:r>
      <w:r w:rsidRPr="007A3629">
        <w:rPr>
          <w:rFonts w:cs="Arial"/>
        </w:rPr>
        <w:t xml:space="preserve"> January 2018</w:t>
      </w:r>
    </w:p>
    <w:p w:rsidR="00875DE9" w:rsidRPr="007A3629" w:rsidRDefault="00875DE9" w:rsidP="00875DE9">
      <w:pPr>
        <w:pStyle w:val="Heading1"/>
        <w:rPr>
          <w:rFonts w:cs="Arial"/>
        </w:rPr>
      </w:pPr>
    </w:p>
    <w:p w:rsidR="00875DE9" w:rsidRPr="007A3629" w:rsidRDefault="00875DE9" w:rsidP="00875DE9">
      <w:pPr>
        <w:rPr>
          <w:rFonts w:cs="Arial"/>
        </w:rPr>
      </w:pPr>
      <w:r w:rsidRPr="007A3629">
        <w:rPr>
          <w:rFonts w:cs="Arial"/>
        </w:rPr>
        <w:t>Dear Colleague</w:t>
      </w:r>
    </w:p>
    <w:p w:rsidR="00875DE9" w:rsidRPr="007A3629" w:rsidRDefault="00875DE9" w:rsidP="00875DE9">
      <w:pPr>
        <w:rPr>
          <w:rFonts w:cs="Arial"/>
        </w:rPr>
      </w:pPr>
    </w:p>
    <w:p w:rsidR="00875DE9" w:rsidRPr="007A3629" w:rsidRDefault="00875DE9" w:rsidP="00875DE9">
      <w:pPr>
        <w:rPr>
          <w:rFonts w:cs="Arial"/>
          <w:b/>
        </w:rPr>
      </w:pPr>
      <w:r w:rsidRPr="007A3629">
        <w:rPr>
          <w:rFonts w:cs="Arial"/>
        </w:rPr>
        <w:t xml:space="preserve">Re: </w:t>
      </w:r>
      <w:r w:rsidRPr="007A3629">
        <w:rPr>
          <w:rFonts w:cs="Arial"/>
          <w:b/>
        </w:rPr>
        <w:t>Increase in syphilis in Devon and</w:t>
      </w:r>
      <w:r>
        <w:rPr>
          <w:rFonts w:cs="Arial"/>
          <w:b/>
        </w:rPr>
        <w:t xml:space="preserve"> Somerset: B</w:t>
      </w:r>
      <w:r w:rsidRPr="007A3629">
        <w:rPr>
          <w:rFonts w:cs="Arial"/>
          <w:b/>
        </w:rPr>
        <w:t>riefing for primary and secondary care</w:t>
      </w:r>
    </w:p>
    <w:p w:rsidR="00875DE9" w:rsidRPr="007A3629" w:rsidRDefault="00875DE9" w:rsidP="00875DE9">
      <w:pPr>
        <w:pStyle w:val="Heading1"/>
        <w:rPr>
          <w:rFonts w:cs="Arial"/>
        </w:rPr>
      </w:pPr>
    </w:p>
    <w:p w:rsidR="00875DE9" w:rsidRPr="007A3629" w:rsidRDefault="00875DE9" w:rsidP="00875DE9">
      <w:pPr>
        <w:rPr>
          <w:rFonts w:cs="Arial"/>
        </w:rPr>
      </w:pPr>
      <w:r w:rsidRPr="007A3629">
        <w:rPr>
          <w:rFonts w:cs="Arial"/>
        </w:rPr>
        <w:t xml:space="preserve">Over the past six months </w:t>
      </w:r>
      <w:r>
        <w:rPr>
          <w:rFonts w:cs="Arial"/>
        </w:rPr>
        <w:t>there has been</w:t>
      </w:r>
      <w:r w:rsidRPr="007A3629">
        <w:rPr>
          <w:rFonts w:cs="Arial"/>
        </w:rPr>
        <w:t xml:space="preserve"> a </w:t>
      </w:r>
      <w:r>
        <w:rPr>
          <w:rFonts w:cs="Arial"/>
        </w:rPr>
        <w:t>notable</w:t>
      </w:r>
      <w:r w:rsidRPr="007A3629">
        <w:rPr>
          <w:rFonts w:cs="Arial"/>
        </w:rPr>
        <w:t xml:space="preserve"> increase in the number of cases of syphilis </w:t>
      </w:r>
      <w:r>
        <w:rPr>
          <w:rFonts w:cs="Arial"/>
        </w:rPr>
        <w:t>diagnosed by</w:t>
      </w:r>
      <w:r w:rsidRPr="007A3629">
        <w:rPr>
          <w:rFonts w:cs="Arial"/>
        </w:rPr>
        <w:t xml:space="preserve"> local Sexual Health services</w:t>
      </w:r>
      <w:r>
        <w:rPr>
          <w:rFonts w:cs="Arial"/>
        </w:rPr>
        <w:t xml:space="preserve"> in Devon and Somerset, with cases also seen </w:t>
      </w:r>
      <w:r w:rsidR="005173A7">
        <w:rPr>
          <w:rFonts w:cs="Arial"/>
        </w:rPr>
        <w:t>across the wider South-West</w:t>
      </w:r>
      <w:r w:rsidRPr="007A3629">
        <w:rPr>
          <w:rFonts w:cs="Arial"/>
        </w:rPr>
        <w:t xml:space="preserve">. </w:t>
      </w:r>
      <w:r w:rsidR="007865A8">
        <w:rPr>
          <w:rFonts w:cs="Arial"/>
        </w:rPr>
        <w:t>Cases</w:t>
      </w:r>
      <w:r w:rsidRPr="007A3629">
        <w:rPr>
          <w:rFonts w:cs="Arial"/>
        </w:rPr>
        <w:t xml:space="preserve"> have been </w:t>
      </w:r>
      <w:r w:rsidR="007865A8">
        <w:rPr>
          <w:rFonts w:cs="Arial"/>
        </w:rPr>
        <w:t>seen</w:t>
      </w:r>
      <w:r>
        <w:rPr>
          <w:rFonts w:cs="Arial"/>
        </w:rPr>
        <w:t xml:space="preserve"> </w:t>
      </w:r>
      <w:r w:rsidRPr="00422DE5">
        <w:rPr>
          <w:rFonts w:cs="Arial"/>
        </w:rPr>
        <w:t>in men who have sex with men</w:t>
      </w:r>
      <w:r w:rsidRPr="007A3629">
        <w:rPr>
          <w:rFonts w:cs="Arial"/>
        </w:rPr>
        <w:t xml:space="preserve"> </w:t>
      </w:r>
      <w:r w:rsidRPr="009B0422">
        <w:rPr>
          <w:rFonts w:cs="Arial"/>
        </w:rPr>
        <w:t>(MSM)</w:t>
      </w:r>
      <w:r w:rsidR="007865A8">
        <w:rPr>
          <w:rFonts w:cs="Arial"/>
        </w:rPr>
        <w:t>,</w:t>
      </w:r>
      <w:r>
        <w:rPr>
          <w:rFonts w:cs="Arial"/>
        </w:rPr>
        <w:t xml:space="preserve"> but women and heterosexual men have also been affected. </w:t>
      </w:r>
    </w:p>
    <w:p w:rsidR="00875DE9" w:rsidRPr="007A3629" w:rsidRDefault="00875DE9" w:rsidP="00875DE9">
      <w:pPr>
        <w:rPr>
          <w:rFonts w:cs="Arial"/>
        </w:rPr>
      </w:pPr>
    </w:p>
    <w:p w:rsidR="00875DE9" w:rsidRDefault="00875DE9" w:rsidP="00875DE9">
      <w:pPr>
        <w:rPr>
          <w:rFonts w:cs="Arial"/>
        </w:rPr>
      </w:pPr>
      <w:r w:rsidRPr="007A3629">
        <w:rPr>
          <w:rFonts w:cs="Arial"/>
        </w:rPr>
        <w:t xml:space="preserve">These cases have been diagnosed at various stages of syphilis infection; primary, secondary and early latent </w:t>
      </w:r>
      <w:r>
        <w:rPr>
          <w:rFonts w:cs="Arial"/>
        </w:rPr>
        <w:t>and I am writing to you to raise awareness of this situation to help us identify cases early and ensure that the subsequent treatment and partner notification, which is vital to reduce ongoing transmission in t</w:t>
      </w:r>
      <w:r w:rsidR="00BC62C1">
        <w:rPr>
          <w:rFonts w:cs="Arial"/>
        </w:rPr>
        <w:t>he community, can be initiated.</w:t>
      </w:r>
    </w:p>
    <w:p w:rsidR="00BC62C1" w:rsidRDefault="00BC62C1" w:rsidP="00875DE9">
      <w:pPr>
        <w:rPr>
          <w:rFonts w:cs="Arial"/>
        </w:rPr>
      </w:pPr>
    </w:p>
    <w:p w:rsidR="00875DE9" w:rsidRPr="007A3629" w:rsidRDefault="00875DE9" w:rsidP="00875DE9">
      <w:pPr>
        <w:rPr>
          <w:rFonts w:cs="Arial"/>
          <w:b/>
          <w:u w:val="single"/>
        </w:rPr>
      </w:pPr>
      <w:r w:rsidRPr="007A3629">
        <w:rPr>
          <w:rFonts w:cs="Arial"/>
          <w:b/>
          <w:u w:val="single"/>
        </w:rPr>
        <w:t>Primary syphilis:</w:t>
      </w:r>
    </w:p>
    <w:p w:rsidR="00875DE9" w:rsidRPr="007A3629" w:rsidRDefault="00875DE9" w:rsidP="00875DE9">
      <w:pPr>
        <w:rPr>
          <w:rFonts w:cs="Arial"/>
        </w:rPr>
      </w:pPr>
      <w:r>
        <w:rPr>
          <w:rFonts w:cs="Arial"/>
        </w:rPr>
        <w:t xml:space="preserve">Primary syphilis usually presents </w:t>
      </w:r>
      <w:r w:rsidRPr="00084D97">
        <w:rPr>
          <w:rFonts w:cs="Arial"/>
        </w:rPr>
        <w:t xml:space="preserve">at the site of inoculation </w:t>
      </w:r>
      <w:r>
        <w:rPr>
          <w:rFonts w:cs="Arial"/>
        </w:rPr>
        <w:t xml:space="preserve">with a </w:t>
      </w:r>
      <w:r w:rsidRPr="007A3629">
        <w:rPr>
          <w:rFonts w:cs="Arial"/>
        </w:rPr>
        <w:t>chancre (painless ulcer) (</w:t>
      </w:r>
      <w:r>
        <w:rPr>
          <w:rFonts w:cs="Arial"/>
        </w:rPr>
        <w:t>e.g.</w:t>
      </w:r>
      <w:r w:rsidRPr="007A3629">
        <w:rPr>
          <w:rFonts w:cs="Arial"/>
        </w:rPr>
        <w:t xml:space="preserve"> genitals</w:t>
      </w:r>
      <w:r>
        <w:rPr>
          <w:rFonts w:cs="Arial"/>
        </w:rPr>
        <w:t>, rectum</w:t>
      </w:r>
      <w:r w:rsidRPr="007A3629">
        <w:rPr>
          <w:rFonts w:cs="Arial"/>
        </w:rPr>
        <w:t xml:space="preserve"> or mouth)</w:t>
      </w:r>
      <w:r>
        <w:rPr>
          <w:rFonts w:cs="Arial"/>
        </w:rPr>
        <w:t xml:space="preserve"> around three weeks after contact (range 9-90 days).</w:t>
      </w:r>
      <w:r w:rsidRPr="007A3629">
        <w:rPr>
          <w:rFonts w:cs="Arial"/>
        </w:rPr>
        <w:t xml:space="preserve">  </w:t>
      </w:r>
      <w:r>
        <w:rPr>
          <w:rFonts w:cs="Arial"/>
        </w:rPr>
        <w:t xml:space="preserve">Chancres in the rectum or mouth often go unnoticed and </w:t>
      </w:r>
      <w:r w:rsidRPr="007A3629">
        <w:rPr>
          <w:rFonts w:cs="Arial"/>
        </w:rPr>
        <w:t>heal without intervention</w:t>
      </w:r>
      <w:r>
        <w:rPr>
          <w:rFonts w:cs="Arial"/>
        </w:rPr>
        <w:t>,</w:t>
      </w:r>
      <w:r w:rsidRPr="007A3629">
        <w:rPr>
          <w:rFonts w:cs="Arial"/>
        </w:rPr>
        <w:t xml:space="preserve"> usually within six weeks.  Ulcers may </w:t>
      </w:r>
      <w:r>
        <w:rPr>
          <w:rFonts w:cs="Arial"/>
        </w:rPr>
        <w:t>occasionally</w:t>
      </w:r>
      <w:r w:rsidRPr="007A3629">
        <w:rPr>
          <w:rFonts w:cs="Arial"/>
        </w:rPr>
        <w:t xml:space="preserve"> be multiple or painful and may be clinically indistinguishable from genital herpes</w:t>
      </w:r>
      <w:r>
        <w:rPr>
          <w:rFonts w:cs="Arial"/>
        </w:rPr>
        <w:t>.</w:t>
      </w:r>
    </w:p>
    <w:p w:rsidR="00875DE9" w:rsidRPr="007A3629" w:rsidRDefault="00875DE9" w:rsidP="00875DE9">
      <w:pPr>
        <w:rPr>
          <w:rFonts w:cs="Arial"/>
        </w:rPr>
      </w:pPr>
    </w:p>
    <w:p w:rsidR="00875DE9" w:rsidRPr="007A3629" w:rsidRDefault="00875DE9" w:rsidP="00875DE9">
      <w:pPr>
        <w:rPr>
          <w:rFonts w:cs="Arial"/>
          <w:b/>
          <w:u w:val="single"/>
        </w:rPr>
      </w:pPr>
      <w:r w:rsidRPr="007A3629">
        <w:rPr>
          <w:rFonts w:cs="Arial"/>
          <w:b/>
          <w:u w:val="single"/>
        </w:rPr>
        <w:t>Secondary syphilis:</w:t>
      </w:r>
    </w:p>
    <w:p w:rsidR="00F94533" w:rsidRDefault="00875DE9" w:rsidP="00875DE9">
      <w:pPr>
        <w:rPr>
          <w:rFonts w:cs="Arial"/>
        </w:rPr>
      </w:pPr>
      <w:r>
        <w:rPr>
          <w:rFonts w:cs="Arial"/>
        </w:rPr>
        <w:t xml:space="preserve">Following untreated </w:t>
      </w:r>
      <w:r w:rsidRPr="007A3629">
        <w:rPr>
          <w:rFonts w:cs="Arial"/>
        </w:rPr>
        <w:t xml:space="preserve">primary syphilis </w:t>
      </w:r>
      <w:r>
        <w:rPr>
          <w:rFonts w:cs="Arial"/>
        </w:rPr>
        <w:t>most cases will</w:t>
      </w:r>
      <w:r w:rsidRPr="007A3629">
        <w:rPr>
          <w:rFonts w:cs="Arial"/>
        </w:rPr>
        <w:t xml:space="preserve"> develop secondary syphilis 4-</w:t>
      </w:r>
      <w:r w:rsidR="00F94533">
        <w:rPr>
          <w:rFonts w:cs="Arial"/>
        </w:rPr>
        <w:t xml:space="preserve">10 weeks after </w:t>
      </w:r>
      <w:r w:rsidR="00422DE5">
        <w:rPr>
          <w:rFonts w:cs="Arial"/>
        </w:rPr>
        <w:t xml:space="preserve">the </w:t>
      </w:r>
      <w:r w:rsidR="00F94533">
        <w:rPr>
          <w:rFonts w:cs="Arial"/>
        </w:rPr>
        <w:t>initial chancre.</w:t>
      </w:r>
    </w:p>
    <w:p w:rsidR="00875DE9" w:rsidRPr="007A3629" w:rsidRDefault="00F94533" w:rsidP="00875DE9">
      <w:pPr>
        <w:rPr>
          <w:rFonts w:cs="Arial"/>
        </w:rPr>
      </w:pPr>
      <w:r>
        <w:rPr>
          <w:rFonts w:cs="Arial"/>
        </w:rPr>
        <w:t>M</w:t>
      </w:r>
      <w:r w:rsidR="00875DE9">
        <w:rPr>
          <w:rFonts w:cs="Arial"/>
        </w:rPr>
        <w:t>anifestations of secondary syphilis include:</w:t>
      </w:r>
    </w:p>
    <w:p w:rsidR="00875DE9" w:rsidRDefault="00875DE9" w:rsidP="00875DE9">
      <w:pPr>
        <w:numPr>
          <w:ilvl w:val="0"/>
          <w:numId w:val="1"/>
        </w:numPr>
        <w:spacing w:line="240" w:lineRule="auto"/>
        <w:rPr>
          <w:rFonts w:cs="Arial"/>
        </w:rPr>
      </w:pPr>
      <w:r w:rsidRPr="007A3629">
        <w:rPr>
          <w:rFonts w:cs="Arial"/>
        </w:rPr>
        <w:t>Rash –</w:t>
      </w:r>
      <w:r>
        <w:rPr>
          <w:rFonts w:cs="Arial"/>
        </w:rPr>
        <w:t xml:space="preserve"> </w:t>
      </w:r>
      <w:r w:rsidRPr="004F54C1">
        <w:rPr>
          <w:rFonts w:cs="Arial"/>
        </w:rPr>
        <w:t xml:space="preserve">Widespread </w:t>
      </w:r>
      <w:proofErr w:type="spellStart"/>
      <w:r w:rsidRPr="004F54C1">
        <w:rPr>
          <w:rFonts w:cs="Arial"/>
        </w:rPr>
        <w:t>muco</w:t>
      </w:r>
      <w:proofErr w:type="spellEnd"/>
      <w:r>
        <w:rPr>
          <w:rFonts w:cs="Arial"/>
        </w:rPr>
        <w:t>-</w:t>
      </w:r>
      <w:r w:rsidRPr="004F54C1">
        <w:rPr>
          <w:rFonts w:cs="Arial"/>
        </w:rPr>
        <w:t>cutaneou</w:t>
      </w:r>
      <w:r>
        <w:rPr>
          <w:rFonts w:cs="Arial"/>
        </w:rPr>
        <w:t>s rash, classically non-</w:t>
      </w:r>
      <w:r w:rsidRPr="007A3629">
        <w:rPr>
          <w:rFonts w:cs="Arial"/>
        </w:rPr>
        <w:t xml:space="preserve"> itchy and may involve palms and soles</w:t>
      </w:r>
    </w:p>
    <w:p w:rsidR="00F94533" w:rsidRPr="007A3629" w:rsidRDefault="00F94533" w:rsidP="00875DE9">
      <w:pPr>
        <w:numPr>
          <w:ilvl w:val="0"/>
          <w:numId w:val="1"/>
        </w:numPr>
        <w:spacing w:line="240" w:lineRule="auto"/>
        <w:rPr>
          <w:rFonts w:cs="Arial"/>
        </w:rPr>
      </w:pPr>
      <w:r>
        <w:rPr>
          <w:rFonts w:cs="Arial"/>
        </w:rPr>
        <w:t>Constitutional symptoms that may be mild</w:t>
      </w:r>
    </w:p>
    <w:p w:rsidR="00875DE9" w:rsidRPr="007A3629" w:rsidRDefault="00875DE9" w:rsidP="00875DE9">
      <w:pPr>
        <w:numPr>
          <w:ilvl w:val="0"/>
          <w:numId w:val="1"/>
        </w:numPr>
        <w:spacing w:line="240" w:lineRule="auto"/>
        <w:rPr>
          <w:rFonts w:cs="Arial"/>
        </w:rPr>
      </w:pPr>
      <w:r w:rsidRPr="007A3629">
        <w:rPr>
          <w:rFonts w:cs="Arial"/>
        </w:rPr>
        <w:t>Mucous patches (buccal, lingual and genital)</w:t>
      </w:r>
    </w:p>
    <w:p w:rsidR="00875DE9" w:rsidRPr="007A3629" w:rsidRDefault="00875DE9" w:rsidP="00875DE9">
      <w:pPr>
        <w:numPr>
          <w:ilvl w:val="0"/>
          <w:numId w:val="1"/>
        </w:numPr>
        <w:spacing w:line="240" w:lineRule="auto"/>
        <w:rPr>
          <w:rFonts w:cs="Arial"/>
        </w:rPr>
      </w:pPr>
      <w:proofErr w:type="spellStart"/>
      <w:r w:rsidRPr="007A3629">
        <w:rPr>
          <w:rFonts w:cs="Arial"/>
        </w:rPr>
        <w:t>Condylomata</w:t>
      </w:r>
      <w:proofErr w:type="spellEnd"/>
      <w:r w:rsidRPr="007A3629">
        <w:rPr>
          <w:rFonts w:cs="Arial"/>
        </w:rPr>
        <w:t xml:space="preserve"> </w:t>
      </w:r>
      <w:proofErr w:type="spellStart"/>
      <w:r>
        <w:rPr>
          <w:rFonts w:cs="Arial"/>
        </w:rPr>
        <w:t>lata</w:t>
      </w:r>
      <w:proofErr w:type="spellEnd"/>
      <w:r>
        <w:rPr>
          <w:rFonts w:cs="Arial"/>
        </w:rPr>
        <w:t xml:space="preserve"> </w:t>
      </w:r>
      <w:r w:rsidRPr="007A3629">
        <w:rPr>
          <w:rFonts w:cs="Arial"/>
        </w:rPr>
        <w:t>(highly infectious, mainly affecting perineum and anus)</w:t>
      </w:r>
    </w:p>
    <w:p w:rsidR="00875DE9" w:rsidRPr="007A3629" w:rsidRDefault="00875DE9" w:rsidP="00875DE9">
      <w:pPr>
        <w:numPr>
          <w:ilvl w:val="0"/>
          <w:numId w:val="1"/>
        </w:numPr>
        <w:spacing w:line="240" w:lineRule="auto"/>
        <w:rPr>
          <w:rFonts w:cs="Arial"/>
        </w:rPr>
      </w:pPr>
      <w:r w:rsidRPr="007A3629">
        <w:rPr>
          <w:rFonts w:cs="Arial"/>
        </w:rPr>
        <w:lastRenderedPageBreak/>
        <w:t>Hepatitis</w:t>
      </w:r>
      <w:r>
        <w:rPr>
          <w:rFonts w:cs="Arial"/>
        </w:rPr>
        <w:t xml:space="preserve"> – especially if secondary to anal transmission</w:t>
      </w:r>
    </w:p>
    <w:p w:rsidR="00875DE9" w:rsidRPr="007A3629" w:rsidRDefault="00875DE9" w:rsidP="00875DE9">
      <w:pPr>
        <w:numPr>
          <w:ilvl w:val="0"/>
          <w:numId w:val="1"/>
        </w:numPr>
        <w:spacing w:line="240" w:lineRule="auto"/>
        <w:rPr>
          <w:rFonts w:cs="Arial"/>
        </w:rPr>
      </w:pPr>
      <w:r w:rsidRPr="007A3629">
        <w:rPr>
          <w:rFonts w:cs="Arial"/>
        </w:rPr>
        <w:t>Splenomegaly</w:t>
      </w:r>
    </w:p>
    <w:p w:rsidR="00875DE9" w:rsidRPr="007A3629" w:rsidRDefault="00422DE5" w:rsidP="00875DE9">
      <w:pPr>
        <w:numPr>
          <w:ilvl w:val="0"/>
          <w:numId w:val="1"/>
        </w:numPr>
        <w:spacing w:line="240" w:lineRule="auto"/>
        <w:rPr>
          <w:rFonts w:cs="Arial"/>
        </w:rPr>
      </w:pPr>
      <w:r>
        <w:rPr>
          <w:rFonts w:cs="Arial"/>
        </w:rPr>
        <w:t>Glomerulonephritis</w:t>
      </w:r>
      <w:r w:rsidR="00875DE9" w:rsidRPr="007A3629">
        <w:rPr>
          <w:rFonts w:cs="Arial"/>
        </w:rPr>
        <w:t xml:space="preserve"> </w:t>
      </w:r>
    </w:p>
    <w:p w:rsidR="00875DE9" w:rsidRDefault="00875DE9" w:rsidP="00875DE9">
      <w:pPr>
        <w:numPr>
          <w:ilvl w:val="0"/>
          <w:numId w:val="1"/>
        </w:numPr>
        <w:spacing w:line="240" w:lineRule="auto"/>
        <w:rPr>
          <w:rFonts w:cs="Arial"/>
        </w:rPr>
      </w:pPr>
      <w:r w:rsidRPr="007A3629">
        <w:rPr>
          <w:rFonts w:cs="Arial"/>
        </w:rPr>
        <w:t xml:space="preserve">Neurological complications including acute meningitis, cranial nerve palsies, </w:t>
      </w:r>
    </w:p>
    <w:p w:rsidR="00875DE9" w:rsidRPr="007A3629" w:rsidRDefault="00875DE9" w:rsidP="00875DE9">
      <w:pPr>
        <w:numPr>
          <w:ilvl w:val="0"/>
          <w:numId w:val="1"/>
        </w:numPr>
        <w:spacing w:line="240" w:lineRule="auto"/>
        <w:rPr>
          <w:rFonts w:cs="Arial"/>
        </w:rPr>
      </w:pPr>
      <w:r w:rsidRPr="007A3629">
        <w:rPr>
          <w:rFonts w:cs="Arial"/>
        </w:rPr>
        <w:t xml:space="preserve">Uveitis, optic neuropathy, interstitial keratitis and retinal involvement. </w:t>
      </w:r>
    </w:p>
    <w:p w:rsidR="00875DE9" w:rsidRPr="007A3629" w:rsidRDefault="00875DE9" w:rsidP="00875DE9">
      <w:pPr>
        <w:ind w:left="720"/>
        <w:rPr>
          <w:rFonts w:cs="Arial"/>
        </w:rPr>
      </w:pPr>
    </w:p>
    <w:p w:rsidR="00875DE9" w:rsidRDefault="00875DE9" w:rsidP="00875DE9">
      <w:pPr>
        <w:rPr>
          <w:rFonts w:cs="Arial"/>
          <w:b/>
          <w:u w:val="single"/>
        </w:rPr>
      </w:pPr>
      <w:r>
        <w:rPr>
          <w:rFonts w:cs="Arial"/>
          <w:b/>
          <w:u w:val="single"/>
        </w:rPr>
        <w:t>Routes to Diagnosis</w:t>
      </w:r>
    </w:p>
    <w:p w:rsidR="00875DE9" w:rsidRPr="008C0BB6" w:rsidRDefault="00875DE9" w:rsidP="00875DE9">
      <w:pPr>
        <w:rPr>
          <w:rFonts w:cs="Arial"/>
        </w:rPr>
      </w:pPr>
      <w:r w:rsidRPr="008C0BB6">
        <w:rPr>
          <w:rFonts w:cs="Arial"/>
        </w:rPr>
        <w:t xml:space="preserve">If you suspect </w:t>
      </w:r>
      <w:r>
        <w:rPr>
          <w:rFonts w:cs="Arial"/>
        </w:rPr>
        <w:t xml:space="preserve">syphilis please advise your patient to avoid any sexual contact and refer them to local sexual health services for a clinical opinion and testing, serology may be negative early in the course of infection. In secondary syphilis serology will be positive so a serology sample can be sent for testing via local microbiology services; advice can be sought from microbiology or sexual health services. </w:t>
      </w:r>
      <w:r w:rsidRPr="00875DE9">
        <w:rPr>
          <w:rFonts w:cs="Arial"/>
          <w:b/>
        </w:rPr>
        <w:t>We would recommend that anyone with a suspected diagnosis is referred to sexual health.</w:t>
      </w:r>
      <w:r>
        <w:rPr>
          <w:rFonts w:cs="Arial"/>
        </w:rPr>
        <w:t xml:space="preserve">  </w:t>
      </w:r>
    </w:p>
    <w:p w:rsidR="00875DE9" w:rsidRPr="007A3629" w:rsidRDefault="00875DE9" w:rsidP="00875DE9">
      <w:pPr>
        <w:rPr>
          <w:rFonts w:cs="Arial"/>
          <w:b/>
          <w:u w:val="single"/>
        </w:rPr>
      </w:pPr>
    </w:p>
    <w:p w:rsidR="00875DE9" w:rsidRPr="007A3629" w:rsidRDefault="00875DE9" w:rsidP="00875DE9">
      <w:pPr>
        <w:rPr>
          <w:rFonts w:cs="Arial"/>
        </w:rPr>
      </w:pPr>
      <w:r w:rsidRPr="007A3629">
        <w:rPr>
          <w:rFonts w:cs="Arial"/>
          <w:b/>
          <w:u w:val="single"/>
        </w:rPr>
        <w:t>Sexual contacts of syphilis:</w:t>
      </w:r>
      <w:r w:rsidRPr="007A3629">
        <w:rPr>
          <w:rFonts w:cs="Arial"/>
        </w:rPr>
        <w:t xml:space="preserve">  </w:t>
      </w:r>
    </w:p>
    <w:p w:rsidR="00875DE9" w:rsidRPr="007A3629" w:rsidRDefault="00875DE9" w:rsidP="00875DE9">
      <w:pPr>
        <w:rPr>
          <w:rFonts w:cs="Arial"/>
        </w:rPr>
      </w:pPr>
      <w:r w:rsidRPr="007A3629">
        <w:rPr>
          <w:rFonts w:cs="Arial"/>
        </w:rPr>
        <w:t>Syphilis has a long incubation period of up to 90 days</w:t>
      </w:r>
      <w:r>
        <w:rPr>
          <w:rFonts w:cs="Arial"/>
        </w:rPr>
        <w:t xml:space="preserve">. </w:t>
      </w:r>
      <w:r w:rsidRPr="007A3629">
        <w:rPr>
          <w:rFonts w:cs="Arial"/>
        </w:rPr>
        <w:t>Anyone presenting as a possible contact of infectious syphilis should be referred to Sexual Health services for consideration of treatment, rather than just testing.</w:t>
      </w:r>
    </w:p>
    <w:p w:rsidR="00875DE9" w:rsidRPr="007A3629" w:rsidRDefault="00875DE9" w:rsidP="00875DE9">
      <w:pPr>
        <w:ind w:left="720"/>
        <w:rPr>
          <w:rFonts w:cs="Arial"/>
        </w:rPr>
      </w:pPr>
    </w:p>
    <w:p w:rsidR="00875DE9" w:rsidRPr="007A3629" w:rsidRDefault="00875DE9" w:rsidP="00875DE9">
      <w:pPr>
        <w:numPr>
          <w:ilvl w:val="0"/>
          <w:numId w:val="2"/>
        </w:numPr>
        <w:spacing w:line="240" w:lineRule="auto"/>
        <w:rPr>
          <w:rFonts w:cs="Arial"/>
        </w:rPr>
      </w:pPr>
      <w:r w:rsidRPr="007A3629">
        <w:rPr>
          <w:rFonts w:cs="Arial"/>
          <w:b/>
        </w:rPr>
        <w:t>Anyone presenting with sexual health concerns and anyone diagnosed with a sexually transmitted infection should be encouraged to have a complete sexual health screen including serology for syphilis and HIV</w:t>
      </w:r>
      <w:r w:rsidRPr="007A3629">
        <w:rPr>
          <w:rFonts w:cs="Arial"/>
        </w:rPr>
        <w:t>.</w:t>
      </w:r>
    </w:p>
    <w:p w:rsidR="00875DE9" w:rsidRPr="007A3629" w:rsidRDefault="00875DE9" w:rsidP="00875DE9">
      <w:pPr>
        <w:rPr>
          <w:rFonts w:cs="Arial"/>
        </w:rPr>
      </w:pPr>
    </w:p>
    <w:p w:rsidR="00875DE9" w:rsidRPr="007A3629" w:rsidRDefault="00875DE9" w:rsidP="00875DE9">
      <w:pPr>
        <w:numPr>
          <w:ilvl w:val="0"/>
          <w:numId w:val="2"/>
        </w:numPr>
        <w:spacing w:line="240" w:lineRule="auto"/>
        <w:rPr>
          <w:rFonts w:cs="Arial"/>
          <w:b/>
        </w:rPr>
      </w:pPr>
      <w:r w:rsidRPr="007A3629">
        <w:rPr>
          <w:rFonts w:cs="Arial"/>
          <w:b/>
        </w:rPr>
        <w:t xml:space="preserve">All men who have sex with men should be encouraged to have sexual health testing including tests for syphilis and HIV annually, or 3 monthly if they report frequent partner change.   </w:t>
      </w:r>
    </w:p>
    <w:p w:rsidR="00875DE9" w:rsidRPr="007A3629" w:rsidRDefault="00875DE9" w:rsidP="00875DE9">
      <w:pPr>
        <w:ind w:left="360"/>
        <w:rPr>
          <w:rFonts w:cs="Arial"/>
          <w:b/>
        </w:rPr>
      </w:pPr>
    </w:p>
    <w:p w:rsidR="00875DE9" w:rsidRDefault="00875DE9" w:rsidP="00875DE9">
      <w:r>
        <w:rPr>
          <w:rFonts w:cs="Arial"/>
        </w:rPr>
        <w:t>C</w:t>
      </w:r>
      <w:r>
        <w:t>ontact details of Sexual Health Clinics in the area are:</w:t>
      </w:r>
    </w:p>
    <w:p w:rsidR="007A3629" w:rsidRDefault="007A3629" w:rsidP="007A3629"/>
    <w:p w:rsidR="007A3629" w:rsidRDefault="009B0422" w:rsidP="007A3629">
      <w:r>
        <w:rPr>
          <w:b/>
        </w:rPr>
        <w:t xml:space="preserve">North Devon and Exeter: </w:t>
      </w:r>
      <w:r w:rsidR="00CA2C68">
        <w:t xml:space="preserve">Exeter: </w:t>
      </w:r>
      <w:r>
        <w:t xml:space="preserve">01392 284982 / 284983 </w:t>
      </w:r>
      <w:r w:rsidR="00CA2C68">
        <w:t xml:space="preserve">North Devon </w:t>
      </w:r>
      <w:r w:rsidR="00CA2C68">
        <w:rPr>
          <w:color w:val="000000"/>
        </w:rPr>
        <w:t>01271 341562</w:t>
      </w:r>
    </w:p>
    <w:p w:rsidR="009B0422" w:rsidRDefault="003F56E8" w:rsidP="007A3629">
      <w:hyperlink r:id="rId9" w:history="1">
        <w:r w:rsidR="009B0422" w:rsidRPr="00C963F7">
          <w:rPr>
            <w:rStyle w:val="Hyperlink"/>
          </w:rPr>
          <w:t>www.thecentresexualhealth.org.uk</w:t>
        </w:r>
      </w:hyperlink>
      <w:r w:rsidR="009B0422">
        <w:t xml:space="preserve"> </w:t>
      </w:r>
    </w:p>
    <w:p w:rsidR="007A3629" w:rsidRDefault="007A3629" w:rsidP="007A3629">
      <w:pPr>
        <w:rPr>
          <w:b/>
        </w:rPr>
      </w:pPr>
    </w:p>
    <w:p w:rsidR="00DD36DE" w:rsidRDefault="007A3629" w:rsidP="007A3629">
      <w:r>
        <w:rPr>
          <w:b/>
        </w:rPr>
        <w:t>Somerset</w:t>
      </w:r>
      <w:r w:rsidR="00DD36DE">
        <w:rPr>
          <w:b/>
        </w:rPr>
        <w:t xml:space="preserve">: </w:t>
      </w:r>
      <w:r w:rsidR="009B0422">
        <w:t>0300 124 5010</w:t>
      </w:r>
    </w:p>
    <w:p w:rsidR="007A3629" w:rsidRPr="009B0422" w:rsidRDefault="003F56E8" w:rsidP="007A3629">
      <w:hyperlink r:id="rId10" w:history="1">
        <w:r w:rsidR="009B0422" w:rsidRPr="00C963F7">
          <w:rPr>
            <w:rStyle w:val="Hyperlink"/>
          </w:rPr>
          <w:t>www.swishservices.co.uk/wheretofindus</w:t>
        </w:r>
      </w:hyperlink>
      <w:r w:rsidR="009B0422">
        <w:t xml:space="preserve"> </w:t>
      </w:r>
    </w:p>
    <w:p w:rsidR="00800791" w:rsidRDefault="00800791" w:rsidP="00800791">
      <w:pPr>
        <w:rPr>
          <w:b/>
          <w:color w:val="FF0000"/>
        </w:rPr>
      </w:pPr>
    </w:p>
    <w:p w:rsidR="00800791" w:rsidRPr="00800791" w:rsidRDefault="00800791" w:rsidP="00800791">
      <w:r w:rsidRPr="00800791">
        <w:rPr>
          <w:b/>
        </w:rPr>
        <w:t xml:space="preserve">Plymouth: </w:t>
      </w:r>
      <w:r w:rsidRPr="00800791">
        <w:t>01752 431 124</w:t>
      </w:r>
    </w:p>
    <w:p w:rsidR="00800791" w:rsidRDefault="003F56E8" w:rsidP="00800791">
      <w:pPr>
        <w:rPr>
          <w:color w:val="FF0000"/>
        </w:rPr>
      </w:pPr>
      <w:hyperlink r:id="rId11" w:history="1">
        <w:r w:rsidR="00800791" w:rsidRPr="00BB2B53">
          <w:rPr>
            <w:rStyle w:val="Hyperlink"/>
          </w:rPr>
          <w:t>www.yourship.uk</w:t>
        </w:r>
      </w:hyperlink>
    </w:p>
    <w:p w:rsidR="00DD36DE" w:rsidRDefault="00DD36DE" w:rsidP="00800791">
      <w:pPr>
        <w:rPr>
          <w:color w:val="FF0000"/>
        </w:rPr>
      </w:pPr>
    </w:p>
    <w:p w:rsidR="00800791" w:rsidRPr="00800791" w:rsidRDefault="00800791" w:rsidP="00800791">
      <w:pPr>
        <w:rPr>
          <w:b/>
        </w:rPr>
      </w:pPr>
      <w:r w:rsidRPr="00800791">
        <w:rPr>
          <w:b/>
        </w:rPr>
        <w:t xml:space="preserve">Torbay and South Devon </w:t>
      </w:r>
      <w:r w:rsidRPr="00800791">
        <w:t>01803 656 500</w:t>
      </w:r>
    </w:p>
    <w:p w:rsidR="00800791" w:rsidRPr="00800791" w:rsidRDefault="003F56E8" w:rsidP="00800791">
      <w:hyperlink r:id="rId12" w:history="1">
        <w:r w:rsidR="00800791" w:rsidRPr="00BB2B53">
          <w:rPr>
            <w:rStyle w:val="Hyperlink"/>
          </w:rPr>
          <w:t>www.torbayandsouthdevon.nhs.uk/services/sexual-medicine-service/clinic-opening-times/</w:t>
        </w:r>
      </w:hyperlink>
      <w:r w:rsidR="00800791">
        <w:t xml:space="preserve"> </w:t>
      </w:r>
    </w:p>
    <w:p w:rsidR="007A3629" w:rsidRDefault="007A3629" w:rsidP="007A3629"/>
    <w:p w:rsidR="003F56E8" w:rsidRPr="003F56E8" w:rsidRDefault="003F56E8" w:rsidP="00800791">
      <w:r>
        <w:rPr>
          <w:b/>
        </w:rPr>
        <w:lastRenderedPageBreak/>
        <w:t xml:space="preserve">Cornwall </w:t>
      </w:r>
      <w:r>
        <w:rPr>
          <w:rStyle w:val="xbe"/>
          <w:rFonts w:cs="Arial"/>
          <w:color w:val="222222"/>
        </w:rPr>
        <w:t>01872 255044</w:t>
      </w:r>
    </w:p>
    <w:p w:rsidR="003F56E8" w:rsidRPr="003F56E8" w:rsidRDefault="003F56E8" w:rsidP="00800791">
      <w:hyperlink r:id="rId13" w:history="1">
        <w:r w:rsidRPr="003F56E8">
          <w:rPr>
            <w:rStyle w:val="Hyperlink"/>
          </w:rPr>
          <w:t>https://www.royalcornwall.nhs.uk/services/sexual-health/</w:t>
        </w:r>
      </w:hyperlink>
      <w:r w:rsidRPr="003F56E8">
        <w:t xml:space="preserve"> </w:t>
      </w:r>
    </w:p>
    <w:p w:rsidR="003F56E8" w:rsidRDefault="003F56E8" w:rsidP="00800791"/>
    <w:p w:rsidR="00800791" w:rsidRDefault="00800791" w:rsidP="00800791">
      <w:r>
        <w:t>Further information and resources are available at:</w:t>
      </w:r>
    </w:p>
    <w:p w:rsidR="00800791" w:rsidRDefault="003F56E8" w:rsidP="00800791">
      <w:hyperlink r:id="rId14" w:history="1">
        <w:r w:rsidR="00800791" w:rsidRPr="00BB2B53">
          <w:rPr>
            <w:rStyle w:val="Hyperlink"/>
          </w:rPr>
          <w:t>https://www.bashh.org/</w:t>
        </w:r>
      </w:hyperlink>
      <w:r w:rsidR="00800791">
        <w:t xml:space="preserve">; or </w:t>
      </w:r>
    </w:p>
    <w:p w:rsidR="00800791" w:rsidRDefault="003F56E8" w:rsidP="00800791">
      <w:hyperlink r:id="rId15" w:history="1">
        <w:r w:rsidR="00800791" w:rsidRPr="00BB2B53">
          <w:rPr>
            <w:rStyle w:val="Hyperlink"/>
          </w:rPr>
          <w:t>https://www.fpa.org.uk/sexually-transmitted-infections-stis-help/syphilis</w:t>
        </w:r>
      </w:hyperlink>
      <w:r w:rsidR="00800791">
        <w:t xml:space="preserve"> </w:t>
      </w:r>
    </w:p>
    <w:p w:rsidR="007A3629" w:rsidRDefault="007A3629" w:rsidP="007A3629"/>
    <w:p w:rsidR="00422DE5" w:rsidRDefault="00422DE5" w:rsidP="007A3629">
      <w:r>
        <w:t>Yours faithfully,</w:t>
      </w:r>
    </w:p>
    <w:p w:rsidR="00422DE5" w:rsidRDefault="00422DE5" w:rsidP="007A3629"/>
    <w:p w:rsidR="004A1F86" w:rsidRPr="008F4286" w:rsidRDefault="007A3629" w:rsidP="00761F90">
      <w:r>
        <w:t>Dr Nick Young</w:t>
      </w:r>
    </w:p>
    <w:p w:rsidR="004A1F86" w:rsidRDefault="007A3629" w:rsidP="00761F90">
      <w:r>
        <w:t>Consultant in Communicable Disease Control</w:t>
      </w:r>
    </w:p>
    <w:p w:rsidR="003D04FD" w:rsidRPr="008F4286" w:rsidRDefault="003D04FD" w:rsidP="00761F90">
      <w:r>
        <w:t xml:space="preserve">0300 303 8162 option 1 option 1 </w:t>
      </w:r>
    </w:p>
    <w:bookmarkStart w:id="0" w:name="_GoBack"/>
    <w:bookmarkEnd w:id="0"/>
    <w:p w:rsidR="004A1F86" w:rsidRDefault="003F56E8" w:rsidP="00761F90">
      <w:r>
        <w:fldChar w:fldCharType="begin"/>
      </w:r>
      <w:r>
        <w:instrText xml:space="preserve"> HYPERLINK "mailto:nick.young@phe.gov.uk" </w:instrText>
      </w:r>
      <w:r>
        <w:fldChar w:fldCharType="separate"/>
      </w:r>
      <w:r w:rsidR="007A3629" w:rsidRPr="00C963F7">
        <w:rPr>
          <w:rStyle w:val="Hyperlink"/>
        </w:rPr>
        <w:t>nick.young@phe.gov.uk</w:t>
      </w:r>
      <w:r>
        <w:rPr>
          <w:rStyle w:val="Hyperlink"/>
        </w:rPr>
        <w:fldChar w:fldCharType="end"/>
      </w:r>
      <w:r w:rsidR="007A3629">
        <w:t xml:space="preserve"> </w:t>
      </w:r>
    </w:p>
    <w:sectPr w:rsidR="004A1F86" w:rsidSect="00EA6CEA">
      <w:footerReference w:type="default" r:id="rId16"/>
      <w:headerReference w:type="first" r:id="rId17"/>
      <w:footerReference w:type="first" r:id="rId18"/>
      <w:pgSz w:w="11906" w:h="16838"/>
      <w:pgMar w:top="2381" w:right="1021" w:bottom="1440" w:left="1021" w:header="164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30" w:rsidRDefault="006A7A30" w:rsidP="00761F90">
      <w:r>
        <w:separator/>
      </w:r>
    </w:p>
  </w:endnote>
  <w:endnote w:type="continuationSeparator" w:id="0">
    <w:p w:rsidR="006A7A30" w:rsidRDefault="006A7A30" w:rsidP="0076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B1" w:rsidRPr="00E028B1" w:rsidRDefault="00E028B1" w:rsidP="00E028B1">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3F56E8">
      <w:rPr>
        <w:noProof/>
        <w:sz w:val="20"/>
        <w:szCs w:val="20"/>
      </w:rPr>
      <w:t>3</w:t>
    </w:r>
    <w:r w:rsidRPr="001E6B8B">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8B" w:rsidRPr="001E6B8B" w:rsidRDefault="001E6B8B" w:rsidP="001E6B8B">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3F56E8">
      <w:rPr>
        <w:noProof/>
        <w:sz w:val="20"/>
        <w:szCs w:val="20"/>
      </w:rPr>
      <w:t>1</w:t>
    </w:r>
    <w:r w:rsidRPr="001E6B8B">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30" w:rsidRDefault="006A7A30" w:rsidP="00761F90">
      <w:r>
        <w:separator/>
      </w:r>
    </w:p>
  </w:footnote>
  <w:footnote w:type="continuationSeparator" w:id="0">
    <w:p w:rsidR="006A7A30" w:rsidRDefault="006A7A30" w:rsidP="0076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86" w:rsidRDefault="00773CBB" w:rsidP="00761F90">
    <w:pPr>
      <w:pStyle w:val="Header"/>
    </w:pPr>
    <w:r>
      <w:rPr>
        <w:noProof/>
        <w:lang w:eastAsia="en-GB"/>
      </w:rPr>
      <w:drawing>
        <wp:anchor distT="0" distB="0" distL="114300" distR="114300" simplePos="0" relativeHeight="251657728" behindDoc="0" locked="0" layoutInCell="1" allowOverlap="1">
          <wp:simplePos x="0" y="0"/>
          <wp:positionH relativeFrom="column">
            <wp:posOffset>-647065</wp:posOffset>
          </wp:positionH>
          <wp:positionV relativeFrom="paragraph">
            <wp:posOffset>-1061720</wp:posOffset>
          </wp:positionV>
          <wp:extent cx="4065270" cy="2007870"/>
          <wp:effectExtent l="0" t="0" r="0" b="0"/>
          <wp:wrapNone/>
          <wp:docPr id="4"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37DC"/>
    <w:multiLevelType w:val="hybridMultilevel"/>
    <w:tmpl w:val="23C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803A23"/>
    <w:multiLevelType w:val="hybridMultilevel"/>
    <w:tmpl w:val="1EB45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FC"/>
    <w:rsid w:val="00004CDD"/>
    <w:rsid w:val="0001276E"/>
    <w:rsid w:val="000742C2"/>
    <w:rsid w:val="00096FFC"/>
    <w:rsid w:val="000B0E5B"/>
    <w:rsid w:val="000C50FB"/>
    <w:rsid w:val="000D5B3F"/>
    <w:rsid w:val="000E193A"/>
    <w:rsid w:val="000F1EC7"/>
    <w:rsid w:val="001239E7"/>
    <w:rsid w:val="00141CFB"/>
    <w:rsid w:val="00151D61"/>
    <w:rsid w:val="00154084"/>
    <w:rsid w:val="00175906"/>
    <w:rsid w:val="0019479C"/>
    <w:rsid w:val="001B70F7"/>
    <w:rsid w:val="001E0D14"/>
    <w:rsid w:val="001E6B8B"/>
    <w:rsid w:val="001F5221"/>
    <w:rsid w:val="00205CEC"/>
    <w:rsid w:val="002111C8"/>
    <w:rsid w:val="002377E4"/>
    <w:rsid w:val="00294B61"/>
    <w:rsid w:val="002B284A"/>
    <w:rsid w:val="002C073D"/>
    <w:rsid w:val="002C2E25"/>
    <w:rsid w:val="002F0649"/>
    <w:rsid w:val="00335D50"/>
    <w:rsid w:val="00394631"/>
    <w:rsid w:val="003A000A"/>
    <w:rsid w:val="003C26D9"/>
    <w:rsid w:val="003D04FD"/>
    <w:rsid w:val="003F071F"/>
    <w:rsid w:val="003F56E8"/>
    <w:rsid w:val="003F66F5"/>
    <w:rsid w:val="00411FD9"/>
    <w:rsid w:val="00415F3E"/>
    <w:rsid w:val="00422DE5"/>
    <w:rsid w:val="00425B35"/>
    <w:rsid w:val="004977CA"/>
    <w:rsid w:val="004A1F86"/>
    <w:rsid w:val="004F54C1"/>
    <w:rsid w:val="005173A7"/>
    <w:rsid w:val="00541DE6"/>
    <w:rsid w:val="00553219"/>
    <w:rsid w:val="005629A6"/>
    <w:rsid w:val="00576873"/>
    <w:rsid w:val="005B0D4C"/>
    <w:rsid w:val="005C6114"/>
    <w:rsid w:val="00636A73"/>
    <w:rsid w:val="00651A56"/>
    <w:rsid w:val="0066498D"/>
    <w:rsid w:val="006778CF"/>
    <w:rsid w:val="006A7A30"/>
    <w:rsid w:val="006B1EEC"/>
    <w:rsid w:val="006C4481"/>
    <w:rsid w:val="006D3FD0"/>
    <w:rsid w:val="006E4B6A"/>
    <w:rsid w:val="00713811"/>
    <w:rsid w:val="007403F6"/>
    <w:rsid w:val="0075105C"/>
    <w:rsid w:val="00757153"/>
    <w:rsid w:val="00761F90"/>
    <w:rsid w:val="00773CBB"/>
    <w:rsid w:val="007865A8"/>
    <w:rsid w:val="007A3629"/>
    <w:rsid w:val="007C460C"/>
    <w:rsid w:val="007D6212"/>
    <w:rsid w:val="007E6EB2"/>
    <w:rsid w:val="00800791"/>
    <w:rsid w:val="00850E60"/>
    <w:rsid w:val="0085134A"/>
    <w:rsid w:val="00864BA5"/>
    <w:rsid w:val="0087083F"/>
    <w:rsid w:val="00874740"/>
    <w:rsid w:val="00875DE9"/>
    <w:rsid w:val="00893C64"/>
    <w:rsid w:val="008A077F"/>
    <w:rsid w:val="008A273F"/>
    <w:rsid w:val="008C2BAD"/>
    <w:rsid w:val="008D6BA4"/>
    <w:rsid w:val="008E4A33"/>
    <w:rsid w:val="008E651E"/>
    <w:rsid w:val="008F3AC3"/>
    <w:rsid w:val="008F4286"/>
    <w:rsid w:val="00900854"/>
    <w:rsid w:val="00936E35"/>
    <w:rsid w:val="009A05E6"/>
    <w:rsid w:val="009B0422"/>
    <w:rsid w:val="009F7303"/>
    <w:rsid w:val="00AD68F5"/>
    <w:rsid w:val="00AE00DF"/>
    <w:rsid w:val="00AE5B31"/>
    <w:rsid w:val="00B33CD6"/>
    <w:rsid w:val="00B61BCE"/>
    <w:rsid w:val="00B84DFE"/>
    <w:rsid w:val="00BA3F10"/>
    <w:rsid w:val="00BA65FE"/>
    <w:rsid w:val="00BC62C1"/>
    <w:rsid w:val="00BE2052"/>
    <w:rsid w:val="00BE3227"/>
    <w:rsid w:val="00BF13D8"/>
    <w:rsid w:val="00BF28E3"/>
    <w:rsid w:val="00C62D09"/>
    <w:rsid w:val="00C7434B"/>
    <w:rsid w:val="00CA2C68"/>
    <w:rsid w:val="00CB5ABF"/>
    <w:rsid w:val="00CC1EF2"/>
    <w:rsid w:val="00CD17CE"/>
    <w:rsid w:val="00CD39A5"/>
    <w:rsid w:val="00D24ECB"/>
    <w:rsid w:val="00D363A1"/>
    <w:rsid w:val="00DB087C"/>
    <w:rsid w:val="00DD36DE"/>
    <w:rsid w:val="00DE2CA0"/>
    <w:rsid w:val="00E028B1"/>
    <w:rsid w:val="00E05401"/>
    <w:rsid w:val="00E43488"/>
    <w:rsid w:val="00E70004"/>
    <w:rsid w:val="00E7584C"/>
    <w:rsid w:val="00E8776E"/>
    <w:rsid w:val="00EA6CEA"/>
    <w:rsid w:val="00EB260A"/>
    <w:rsid w:val="00EB2FAE"/>
    <w:rsid w:val="00EB3E86"/>
    <w:rsid w:val="00EB68A8"/>
    <w:rsid w:val="00EB7402"/>
    <w:rsid w:val="00EE6BD5"/>
    <w:rsid w:val="00F00B4D"/>
    <w:rsid w:val="00F07CC4"/>
    <w:rsid w:val="00F4704D"/>
    <w:rsid w:val="00F56AF9"/>
    <w:rsid w:val="00F767B1"/>
    <w:rsid w:val="00F94533"/>
    <w:rsid w:val="00FB145A"/>
    <w:rsid w:val="00FC4434"/>
    <w:rsid w:val="00FD0D30"/>
    <w:rsid w:val="00FD2CF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qFormat/>
    <w:rsid w:val="00761F90"/>
    <w:pPr>
      <w:spacing w:line="320" w:lineRule="exac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uiPriority w:val="99"/>
    <w:rsid w:val="00FD2CF3"/>
    <w:rPr>
      <w:rFonts w:cs="Times New Roman"/>
      <w:color w:val="0000FF"/>
      <w:u w:val="single"/>
    </w:rPr>
  </w:style>
  <w:style w:type="character" w:styleId="CommentReference">
    <w:name w:val="annotation reference"/>
    <w:uiPriority w:val="99"/>
    <w:semiHidden/>
    <w:unhideWhenUsed/>
    <w:rsid w:val="007A3629"/>
    <w:rPr>
      <w:sz w:val="16"/>
      <w:szCs w:val="16"/>
    </w:rPr>
  </w:style>
  <w:style w:type="paragraph" w:styleId="CommentText">
    <w:name w:val="annotation text"/>
    <w:basedOn w:val="Normal"/>
    <w:link w:val="CommentTextChar"/>
    <w:uiPriority w:val="99"/>
    <w:semiHidden/>
    <w:unhideWhenUsed/>
    <w:rsid w:val="007A3629"/>
    <w:pPr>
      <w:spacing w:line="240" w:lineRule="auto"/>
    </w:pPr>
    <w:rPr>
      <w:rFonts w:ascii="Times New Roman" w:eastAsia="Times New Roman" w:hAnsi="Times New Roman"/>
      <w:sz w:val="20"/>
      <w:szCs w:val="20"/>
      <w:lang w:eastAsia="en-GB"/>
    </w:rPr>
  </w:style>
  <w:style w:type="character" w:customStyle="1" w:styleId="CommentTextChar">
    <w:name w:val="Comment Text Char"/>
    <w:link w:val="CommentText"/>
    <w:uiPriority w:val="99"/>
    <w:semiHidden/>
    <w:rsid w:val="007A362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B0422"/>
    <w:pPr>
      <w:spacing w:line="320" w:lineRule="exact"/>
    </w:pPr>
    <w:rPr>
      <w:rFonts w:ascii="Arial" w:eastAsia="Calibri" w:hAnsi="Arial"/>
      <w:b/>
      <w:bCs/>
      <w:lang w:eastAsia="en-US"/>
    </w:rPr>
  </w:style>
  <w:style w:type="character" w:customStyle="1" w:styleId="CommentSubjectChar">
    <w:name w:val="Comment Subject Char"/>
    <w:link w:val="CommentSubject"/>
    <w:uiPriority w:val="99"/>
    <w:semiHidden/>
    <w:rsid w:val="009B0422"/>
    <w:rPr>
      <w:rFonts w:ascii="Arial" w:eastAsia="Times New Roman" w:hAnsi="Arial"/>
      <w:b/>
      <w:bCs/>
      <w:lang w:eastAsia="en-US"/>
    </w:rPr>
  </w:style>
  <w:style w:type="character" w:customStyle="1" w:styleId="xbe">
    <w:name w:val="_xbe"/>
    <w:basedOn w:val="DefaultParagraphFont"/>
    <w:rsid w:val="003F5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qFormat/>
    <w:rsid w:val="00761F90"/>
    <w:pPr>
      <w:spacing w:line="320" w:lineRule="exac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uiPriority w:val="99"/>
    <w:rsid w:val="00FD2CF3"/>
    <w:rPr>
      <w:rFonts w:cs="Times New Roman"/>
      <w:color w:val="0000FF"/>
      <w:u w:val="single"/>
    </w:rPr>
  </w:style>
  <w:style w:type="character" w:styleId="CommentReference">
    <w:name w:val="annotation reference"/>
    <w:uiPriority w:val="99"/>
    <w:semiHidden/>
    <w:unhideWhenUsed/>
    <w:rsid w:val="007A3629"/>
    <w:rPr>
      <w:sz w:val="16"/>
      <w:szCs w:val="16"/>
    </w:rPr>
  </w:style>
  <w:style w:type="paragraph" w:styleId="CommentText">
    <w:name w:val="annotation text"/>
    <w:basedOn w:val="Normal"/>
    <w:link w:val="CommentTextChar"/>
    <w:uiPriority w:val="99"/>
    <w:semiHidden/>
    <w:unhideWhenUsed/>
    <w:rsid w:val="007A3629"/>
    <w:pPr>
      <w:spacing w:line="240" w:lineRule="auto"/>
    </w:pPr>
    <w:rPr>
      <w:rFonts w:ascii="Times New Roman" w:eastAsia="Times New Roman" w:hAnsi="Times New Roman"/>
      <w:sz w:val="20"/>
      <w:szCs w:val="20"/>
      <w:lang w:eastAsia="en-GB"/>
    </w:rPr>
  </w:style>
  <w:style w:type="character" w:customStyle="1" w:styleId="CommentTextChar">
    <w:name w:val="Comment Text Char"/>
    <w:link w:val="CommentText"/>
    <w:uiPriority w:val="99"/>
    <w:semiHidden/>
    <w:rsid w:val="007A362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B0422"/>
    <w:pPr>
      <w:spacing w:line="320" w:lineRule="exact"/>
    </w:pPr>
    <w:rPr>
      <w:rFonts w:ascii="Arial" w:eastAsia="Calibri" w:hAnsi="Arial"/>
      <w:b/>
      <w:bCs/>
      <w:lang w:eastAsia="en-US"/>
    </w:rPr>
  </w:style>
  <w:style w:type="character" w:customStyle="1" w:styleId="CommentSubjectChar">
    <w:name w:val="Comment Subject Char"/>
    <w:link w:val="CommentSubject"/>
    <w:uiPriority w:val="99"/>
    <w:semiHidden/>
    <w:rsid w:val="009B0422"/>
    <w:rPr>
      <w:rFonts w:ascii="Arial" w:eastAsia="Times New Roman" w:hAnsi="Arial"/>
      <w:b/>
      <w:bCs/>
      <w:lang w:eastAsia="en-US"/>
    </w:rPr>
  </w:style>
  <w:style w:type="character" w:customStyle="1" w:styleId="xbe">
    <w:name w:val="_xbe"/>
    <w:basedOn w:val="DefaultParagraphFont"/>
    <w:rsid w:val="003F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ov.uk/phe" TargetMode="External"/><Relationship Id="rId13" Type="http://schemas.openxmlformats.org/officeDocument/2006/relationships/hyperlink" Target="https://www.royalcornwall.nhs.uk/services/sexual-health/"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bayandsouthdevon.nhs.uk/services/sexual-medicine-service/clinic-opening-tim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rship.uk" TargetMode="External"/><Relationship Id="rId5" Type="http://schemas.openxmlformats.org/officeDocument/2006/relationships/webSettings" Target="webSettings.xml"/><Relationship Id="rId15" Type="http://schemas.openxmlformats.org/officeDocument/2006/relationships/hyperlink" Target="https://www.fpa.org.uk/sexually-transmitted-infections-stis-help/syphilis" TargetMode="External"/><Relationship Id="rId10" Type="http://schemas.openxmlformats.org/officeDocument/2006/relationships/hyperlink" Target="http://www.swishservices.co.uk/wheretofind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centresexualhealth.org.uk" TargetMode="External"/><Relationship Id="rId14" Type="http://schemas.openxmlformats.org/officeDocument/2006/relationships/hyperlink" Target="https://www.bash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4562</CharactersWithSpaces>
  <SharedDoc>false</SharedDoc>
  <HyperlinkBase/>
  <HLinks>
    <vt:vector size="24" baseType="variant">
      <vt:variant>
        <vt:i4>7077970</vt:i4>
      </vt:variant>
      <vt:variant>
        <vt:i4>9</vt:i4>
      </vt:variant>
      <vt:variant>
        <vt:i4>0</vt:i4>
      </vt:variant>
      <vt:variant>
        <vt:i4>5</vt:i4>
      </vt:variant>
      <vt:variant>
        <vt:lpwstr>mailto:nick.young@phe.gov.uk</vt:lpwstr>
      </vt:variant>
      <vt:variant>
        <vt:lpwstr/>
      </vt:variant>
      <vt:variant>
        <vt:i4>1704017</vt:i4>
      </vt:variant>
      <vt:variant>
        <vt:i4>6</vt:i4>
      </vt:variant>
      <vt:variant>
        <vt:i4>0</vt:i4>
      </vt:variant>
      <vt:variant>
        <vt:i4>5</vt:i4>
      </vt:variant>
      <vt:variant>
        <vt:lpwstr>http://www.swishservices.co.uk/wheretofindus</vt:lpwstr>
      </vt:variant>
      <vt:variant>
        <vt:lpwstr/>
      </vt:variant>
      <vt:variant>
        <vt:i4>65609</vt:i4>
      </vt:variant>
      <vt:variant>
        <vt:i4>3</vt:i4>
      </vt:variant>
      <vt:variant>
        <vt:i4>0</vt:i4>
      </vt:variant>
      <vt:variant>
        <vt:i4>5</vt:i4>
      </vt:variant>
      <vt:variant>
        <vt:lpwstr>http://www.thecentresexualhealth.org.uk/</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creator>Public Health England Publications</dc:creator>
  <cp:lastModifiedBy>Alexa Gainsbury</cp:lastModifiedBy>
  <cp:revision>7</cp:revision>
  <cp:lastPrinted>2018-01-24T15:34:00Z</cp:lastPrinted>
  <dcterms:created xsi:type="dcterms:W3CDTF">2018-01-24T15:32:00Z</dcterms:created>
  <dcterms:modified xsi:type="dcterms:W3CDTF">2018-01-24T16:33:00Z</dcterms:modified>
</cp:coreProperties>
</file>