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64" w:rsidRDefault="00441E6B" w:rsidP="003C0969">
      <w:pPr>
        <w:rPr>
          <w:noProof/>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-670560</wp:posOffset>
                </wp:positionV>
                <wp:extent cx="1445260" cy="827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260" cy="827405"/>
                        </a:xfrm>
                        <a:prstGeom prst="rect">
                          <a:avLst/>
                        </a:prstGeom>
                        <a:noFill/>
                        <a:ln>
                          <a:noFill/>
                        </a:ln>
                        <a:effectLst/>
                      </wps:spPr>
                      <wps:txbx>
                        <w:txbxContent>
                          <w:p w:rsidR="0020678B" w:rsidRPr="0020678B" w:rsidRDefault="0020678B" w:rsidP="004812C9">
                            <w:pPr>
                              <w:jc w:val="both"/>
                              <w:rPr>
                                <w:noProof/>
                                <w:sz w:val="72"/>
                                <w:szCs w:val="72"/>
                              </w:rPr>
                            </w:pPr>
                            <w:r>
                              <w:rPr>
                                <w:noProof/>
                                <w:sz w:val="72"/>
                                <w:szCs w:val="72"/>
                              </w:rPr>
                              <w:t xml:space="preserve">  GPS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52.8pt;width:113.8pt;height: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" filled="f" stroked="f">
                <v:path arrowok="t"/>
                <v:textbox>
                  <w:txbxContent>
                    <w:p w:rsidR="0020678B" w:rsidRPr="0020678B" w:rsidRDefault="0020678B" w:rsidP="004812C9">
                      <w:pPr>
                        <w:jc w:val="both"/>
                        <w:rPr>
                          <w:noProof/>
                          <w:sz w:val="72"/>
                          <w:szCs w:val="72"/>
                        </w:rPr>
                      </w:pPr>
                      <w:r>
                        <w:rPr>
                          <w:noProof/>
                          <w:sz w:val="72"/>
                          <w:szCs w:val="72"/>
                        </w:rPr>
                        <w:t xml:space="preserve">  GPS</w:t>
                      </w:r>
                    </w:p>
                  </w:txbxContent>
                </v:textbox>
              </v:shape>
            </w:pict>
          </mc:Fallback>
        </mc:AlternateContent>
      </w:r>
      <w:r w:rsidR="007841BC">
        <w:rPr>
          <w:noProof/>
          <w:lang w:eastAsia="en-GB"/>
        </w:rPr>
        <w:drawing>
          <wp:inline distT="0" distB="0" distL="0" distR="0">
            <wp:extent cx="1204686" cy="10842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184" cy="1086465"/>
                    </a:xfrm>
                    <a:prstGeom prst="rect">
                      <a:avLst/>
                    </a:prstGeom>
                  </pic:spPr>
                </pic:pic>
              </a:graphicData>
            </a:graphic>
          </wp:inline>
        </w:drawing>
      </w:r>
      <w:r w:rsidR="0020678B">
        <w:rPr>
          <w:noProof/>
          <w:lang w:eastAsia="en-GB"/>
        </w:rPr>
        <w:t xml:space="preserve">                                        </w:t>
      </w:r>
      <w:r w:rsidR="003C0969">
        <w:rPr>
          <w:noProof/>
          <w:lang w:eastAsia="en-GB"/>
        </w:rPr>
        <w:tab/>
      </w:r>
      <w:r w:rsidR="003C0969">
        <w:rPr>
          <w:noProof/>
          <w:lang w:eastAsia="en-GB"/>
        </w:rPr>
        <w:tab/>
      </w:r>
      <w:r w:rsidR="0020678B">
        <w:rPr>
          <w:noProof/>
          <w:lang w:eastAsia="en-GB"/>
        </w:rPr>
        <w:t xml:space="preserve">       </w:t>
      </w:r>
      <w:r w:rsidR="0020678B">
        <w:rPr>
          <w:noProof/>
          <w:lang w:eastAsia="en-GB"/>
        </w:rPr>
        <w:drawing>
          <wp:inline distT="0" distB="0" distL="0" distR="0">
            <wp:extent cx="2186532" cy="79050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GPhealthService-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532" cy="790506"/>
                    </a:xfrm>
                    <a:prstGeom prst="rect">
                      <a:avLst/>
                    </a:prstGeom>
                  </pic:spPr>
                </pic:pic>
              </a:graphicData>
            </a:graphic>
          </wp:inline>
        </w:drawing>
      </w:r>
    </w:p>
    <w:p w:rsidR="003C0969" w:rsidRPr="005D3AAD" w:rsidRDefault="0020678B" w:rsidP="007841BC">
      <w:pPr>
        <w:jc w:val="center"/>
        <w:rPr>
          <w:noProof/>
          <w:color w:val="2E74B5" w:themeColor="accent1" w:themeShade="BF"/>
          <w:sz w:val="48"/>
          <w:szCs w:val="48"/>
          <w:lang w:eastAsia="en-GB"/>
        </w:rPr>
      </w:pPr>
      <w:r w:rsidRPr="005D3AAD">
        <w:rPr>
          <w:noProof/>
          <w:color w:val="2E74B5" w:themeColor="accent1" w:themeShade="BF"/>
          <w:sz w:val="48"/>
          <w:szCs w:val="48"/>
          <w:lang w:eastAsia="en-GB"/>
        </w:rPr>
        <w:t>Group Peer Support</w:t>
      </w:r>
      <w:r w:rsidR="0028546E" w:rsidRPr="005D3AAD">
        <w:rPr>
          <w:noProof/>
          <w:color w:val="2E74B5" w:themeColor="accent1" w:themeShade="BF"/>
          <w:sz w:val="48"/>
          <w:szCs w:val="48"/>
          <w:lang w:eastAsia="en-GB"/>
        </w:rPr>
        <w:t xml:space="preserve"> </w:t>
      </w:r>
      <w:r w:rsidR="003C0969" w:rsidRPr="005D3AAD">
        <w:rPr>
          <w:noProof/>
          <w:color w:val="2E74B5" w:themeColor="accent1" w:themeShade="BF"/>
          <w:sz w:val="48"/>
          <w:szCs w:val="48"/>
          <w:lang w:eastAsia="en-GB"/>
        </w:rPr>
        <w:t>(</w:t>
      </w:r>
      <w:r w:rsidR="003C0969" w:rsidRPr="007D34E1">
        <w:rPr>
          <w:b/>
          <w:i/>
          <w:noProof/>
          <w:color w:val="2E74B5" w:themeColor="accent1" w:themeShade="BF"/>
          <w:sz w:val="48"/>
          <w:szCs w:val="48"/>
          <w:lang w:eastAsia="en-GB"/>
        </w:rPr>
        <w:t>GPS</w:t>
      </w:r>
      <w:r w:rsidR="003C0969" w:rsidRPr="005D3AAD">
        <w:rPr>
          <w:noProof/>
          <w:color w:val="2E74B5" w:themeColor="accent1" w:themeShade="BF"/>
          <w:sz w:val="48"/>
          <w:szCs w:val="48"/>
          <w:lang w:eastAsia="en-GB"/>
        </w:rPr>
        <w:t xml:space="preserve">) </w:t>
      </w:r>
      <w:r w:rsidR="0028546E" w:rsidRPr="005D3AAD">
        <w:rPr>
          <w:noProof/>
          <w:color w:val="2E74B5" w:themeColor="accent1" w:themeShade="BF"/>
          <w:sz w:val="48"/>
          <w:szCs w:val="48"/>
          <w:lang w:eastAsia="en-GB"/>
        </w:rPr>
        <w:t xml:space="preserve">– </w:t>
      </w:r>
    </w:p>
    <w:p w:rsidR="0020678B" w:rsidRDefault="007841BC" w:rsidP="007841BC">
      <w:pPr>
        <w:jc w:val="center"/>
        <w:rPr>
          <w:noProof/>
          <w:color w:val="2E74B5" w:themeColor="accent1" w:themeShade="BF"/>
          <w:sz w:val="48"/>
          <w:szCs w:val="48"/>
          <w:lang w:eastAsia="en-GB"/>
        </w:rPr>
      </w:pPr>
      <w:r w:rsidRPr="005D3AAD">
        <w:rPr>
          <w:noProof/>
          <w:color w:val="2E74B5" w:themeColor="accent1" w:themeShade="BF"/>
          <w:sz w:val="48"/>
          <w:szCs w:val="48"/>
          <w:lang w:eastAsia="en-GB"/>
        </w:rPr>
        <w:t>f</w:t>
      </w:r>
      <w:r w:rsidR="0020678B" w:rsidRPr="005D3AAD">
        <w:rPr>
          <w:noProof/>
          <w:color w:val="2E74B5" w:themeColor="accent1" w:themeShade="BF"/>
          <w:sz w:val="48"/>
          <w:szCs w:val="48"/>
          <w:lang w:eastAsia="en-GB"/>
        </w:rPr>
        <w:t>or GPs</w:t>
      </w:r>
    </w:p>
    <w:p w:rsidR="001D4A06" w:rsidRPr="005D3AAD" w:rsidRDefault="001D4A06" w:rsidP="007841BC">
      <w:pPr>
        <w:jc w:val="center"/>
        <w:rPr>
          <w:noProof/>
          <w:color w:val="2E74B5" w:themeColor="accent1" w:themeShade="BF"/>
          <w:sz w:val="48"/>
          <w:szCs w:val="48"/>
          <w:lang w:eastAsia="en-GB"/>
        </w:rPr>
      </w:pPr>
      <w:r>
        <w:rPr>
          <w:noProof/>
          <w:color w:val="2E74B5" w:themeColor="accent1" w:themeShade="BF"/>
          <w:sz w:val="48"/>
          <w:szCs w:val="48"/>
          <w:lang w:eastAsia="en-GB"/>
        </w:rPr>
        <w:t xml:space="preserve">How meeting as a group and taking time to reflect can contribute to your </w:t>
      </w:r>
      <w:r w:rsidRPr="005D3AAD">
        <w:rPr>
          <w:noProof/>
          <w:color w:val="2E74B5" w:themeColor="accent1" w:themeShade="BF"/>
          <w:sz w:val="48"/>
          <w:szCs w:val="48"/>
          <w:lang w:eastAsia="en-GB"/>
        </w:rPr>
        <w:t>Continuous Professional Development (CPD)</w:t>
      </w:r>
    </w:p>
    <w:p w:rsidR="003D618B" w:rsidRPr="005F2CC2" w:rsidRDefault="001D4A06" w:rsidP="0020678B">
      <w:pPr>
        <w:rPr>
          <w:rFonts w:cstheme="minorHAnsi"/>
          <w:b/>
        </w:rPr>
      </w:pPr>
      <w:r>
        <w:rPr>
          <w:rFonts w:cstheme="minorHAnsi"/>
          <w:b/>
        </w:rPr>
        <w:t>Our</w:t>
      </w:r>
      <w:r w:rsidR="003D618B" w:rsidRPr="005F2CC2">
        <w:rPr>
          <w:rFonts w:cstheme="minorHAnsi"/>
          <w:b/>
        </w:rPr>
        <w:t xml:space="preserve"> vision</w:t>
      </w:r>
    </w:p>
    <w:p w:rsidR="001D4A06" w:rsidRPr="006F1C37" w:rsidRDefault="003D618B" w:rsidP="006F1C37">
      <w:pPr>
        <w:jc w:val="center"/>
        <w:rPr>
          <w:rFonts w:cstheme="minorHAnsi"/>
          <w:b/>
          <w:i/>
        </w:rPr>
      </w:pPr>
      <w:r w:rsidRPr="006F1C37">
        <w:rPr>
          <w:rFonts w:cstheme="minorHAnsi"/>
          <w:b/>
          <w:i/>
        </w:rPr>
        <w:t xml:space="preserve">All GPs and GP trainees </w:t>
      </w:r>
      <w:r w:rsidR="001D4A06" w:rsidRPr="006F1C37">
        <w:rPr>
          <w:rFonts w:cstheme="minorHAnsi"/>
          <w:b/>
          <w:i/>
        </w:rPr>
        <w:t xml:space="preserve">to </w:t>
      </w:r>
      <w:r w:rsidR="0028546E" w:rsidRPr="006F1C37">
        <w:rPr>
          <w:rFonts w:cstheme="minorHAnsi"/>
          <w:b/>
          <w:i/>
        </w:rPr>
        <w:t xml:space="preserve">have access </w:t>
      </w:r>
      <w:r w:rsidRPr="006F1C37">
        <w:rPr>
          <w:rFonts w:cstheme="minorHAnsi"/>
          <w:b/>
          <w:i/>
        </w:rPr>
        <w:t>to reflective pract</w:t>
      </w:r>
      <w:r w:rsidR="0028546E" w:rsidRPr="006F1C37">
        <w:rPr>
          <w:rFonts w:cstheme="minorHAnsi"/>
          <w:b/>
          <w:i/>
        </w:rPr>
        <w:t xml:space="preserve">ice and peer support in groups, </w:t>
      </w:r>
      <w:r w:rsidR="001D4A06" w:rsidRPr="006F1C37">
        <w:rPr>
          <w:rFonts w:cstheme="minorHAnsi"/>
          <w:b/>
          <w:i/>
        </w:rPr>
        <w:t xml:space="preserve">which can </w:t>
      </w:r>
      <w:r w:rsidR="006F1C37" w:rsidRPr="006F1C37">
        <w:rPr>
          <w:rFonts w:cstheme="minorHAnsi"/>
          <w:b/>
          <w:i/>
        </w:rPr>
        <w:t xml:space="preserve">support their mental wellbeing and </w:t>
      </w:r>
      <w:r w:rsidR="001D4A06" w:rsidRPr="006F1C37">
        <w:rPr>
          <w:rFonts w:cstheme="minorHAnsi"/>
          <w:b/>
          <w:i/>
        </w:rPr>
        <w:t xml:space="preserve">contribute to </w:t>
      </w:r>
      <w:r w:rsidR="0028546E" w:rsidRPr="006F1C37">
        <w:rPr>
          <w:rFonts w:cstheme="minorHAnsi"/>
          <w:b/>
          <w:i/>
        </w:rPr>
        <w:t>continuous professional development.</w:t>
      </w:r>
    </w:p>
    <w:p w:rsidR="001D4A06" w:rsidRDefault="001D4A06" w:rsidP="0028546E">
      <w:pPr>
        <w:rPr>
          <w:rFonts w:cstheme="minorHAnsi"/>
        </w:rPr>
      </w:pPr>
      <w:r>
        <w:rPr>
          <w:rFonts w:cstheme="minorHAnsi"/>
        </w:rPr>
        <w:t>We believe that by offering GPs and GP trainees an opportunity to meet as a group, to have the space and time to reflect and discuss, t</w:t>
      </w:r>
      <w:r w:rsidR="0028546E">
        <w:rPr>
          <w:rFonts w:cstheme="minorHAnsi"/>
        </w:rPr>
        <w:t>his will support</w:t>
      </w:r>
      <w:r w:rsidR="0028546E" w:rsidRPr="0028546E">
        <w:rPr>
          <w:rFonts w:cstheme="minorHAnsi"/>
        </w:rPr>
        <w:t xml:space="preserve"> cultural change </w:t>
      </w:r>
      <w:r w:rsidR="0028546E">
        <w:rPr>
          <w:rFonts w:cstheme="minorHAnsi"/>
        </w:rPr>
        <w:t xml:space="preserve">in GPs behaviour </w:t>
      </w:r>
      <w:r>
        <w:rPr>
          <w:rFonts w:cstheme="minorHAnsi"/>
        </w:rPr>
        <w:t xml:space="preserve">that becomes </w:t>
      </w:r>
      <w:r w:rsidR="0028546E">
        <w:rPr>
          <w:rFonts w:cstheme="minorHAnsi"/>
        </w:rPr>
        <w:t>an “</w:t>
      </w:r>
      <w:r w:rsidR="0028546E" w:rsidRPr="0028546E">
        <w:rPr>
          <w:rFonts w:cstheme="minorHAnsi"/>
        </w:rPr>
        <w:t xml:space="preserve">everyday” </w:t>
      </w:r>
      <w:r w:rsidR="0028546E">
        <w:rPr>
          <w:rFonts w:cstheme="minorHAnsi"/>
        </w:rPr>
        <w:t xml:space="preserve">occurrence </w:t>
      </w:r>
      <w:r w:rsidR="0028546E" w:rsidRPr="0028546E">
        <w:rPr>
          <w:rFonts w:cstheme="minorHAnsi"/>
        </w:rPr>
        <w:t>for “everyone”</w:t>
      </w:r>
      <w:r w:rsidR="008A3332">
        <w:rPr>
          <w:rFonts w:cstheme="minorHAnsi"/>
        </w:rPr>
        <w:t xml:space="preserve">.  </w:t>
      </w:r>
    </w:p>
    <w:p w:rsidR="0028546E" w:rsidRPr="0028546E" w:rsidRDefault="001D4A06" w:rsidP="0028546E">
      <w:pPr>
        <w:rPr>
          <w:rFonts w:cstheme="minorHAnsi"/>
        </w:rPr>
      </w:pPr>
      <w:r>
        <w:rPr>
          <w:rFonts w:cstheme="minorHAnsi"/>
        </w:rPr>
        <w:t xml:space="preserve">Meeting as a group </w:t>
      </w:r>
      <w:r w:rsidR="005D3AAD">
        <w:rPr>
          <w:rFonts w:cstheme="minorHAnsi"/>
        </w:rPr>
        <w:t>will s</w:t>
      </w:r>
      <w:r>
        <w:rPr>
          <w:rFonts w:cstheme="minorHAnsi"/>
        </w:rPr>
        <w:t>upport</w:t>
      </w:r>
      <w:r w:rsidR="0028546E">
        <w:rPr>
          <w:rFonts w:cstheme="minorHAnsi"/>
        </w:rPr>
        <w:t xml:space="preserve"> well-being</w:t>
      </w:r>
      <w:r w:rsidR="00DF4EA7">
        <w:rPr>
          <w:rFonts w:cstheme="minorHAnsi"/>
        </w:rPr>
        <w:t xml:space="preserve"> and mental health</w:t>
      </w:r>
      <w:r w:rsidR="0028546E">
        <w:rPr>
          <w:rFonts w:cstheme="minorHAnsi"/>
        </w:rPr>
        <w:t>.</w:t>
      </w:r>
      <w:r>
        <w:rPr>
          <w:rFonts w:cstheme="minorHAnsi"/>
        </w:rPr>
        <w:t xml:space="preserve"> GPs who take the time to talk together, learn from one another, share experiences and support one another in this way will naturally build their resilience and grow their armoury for dealing with the day to day stresses of life in the NHS.</w:t>
      </w:r>
    </w:p>
    <w:p w:rsidR="003D618B" w:rsidRPr="005F2CC2" w:rsidRDefault="00654FED" w:rsidP="003D618B">
      <w:pPr>
        <w:rPr>
          <w:rFonts w:cstheme="minorHAnsi"/>
        </w:rPr>
      </w:pPr>
      <w:r>
        <w:rPr>
          <w:rFonts w:cstheme="minorHAnsi"/>
        </w:rPr>
        <w:t>The</w:t>
      </w:r>
      <w:r w:rsidR="003D618B" w:rsidRPr="005F2CC2">
        <w:rPr>
          <w:rFonts w:cstheme="minorHAnsi"/>
        </w:rPr>
        <w:t xml:space="preserve"> groups </w:t>
      </w:r>
      <w:r w:rsidR="007841BC">
        <w:rPr>
          <w:rFonts w:cstheme="minorHAnsi"/>
        </w:rPr>
        <w:t xml:space="preserve">can choose </w:t>
      </w:r>
      <w:r w:rsidR="003D618B" w:rsidRPr="005F2CC2">
        <w:rPr>
          <w:rFonts w:cstheme="minorHAnsi"/>
        </w:rPr>
        <w:t xml:space="preserve">any </w:t>
      </w:r>
      <w:r>
        <w:rPr>
          <w:rFonts w:cstheme="minorHAnsi"/>
        </w:rPr>
        <w:t xml:space="preserve">reflective practice </w:t>
      </w:r>
      <w:r w:rsidR="003D618B" w:rsidRPr="005F2CC2">
        <w:rPr>
          <w:rFonts w:cstheme="minorHAnsi"/>
        </w:rPr>
        <w:t>modality which a</w:t>
      </w:r>
      <w:r w:rsidR="007841BC">
        <w:rPr>
          <w:rFonts w:cstheme="minorHAnsi"/>
        </w:rPr>
        <w:t>llows</w:t>
      </w:r>
      <w:r w:rsidR="003D618B" w:rsidRPr="005F2CC2">
        <w:rPr>
          <w:rFonts w:cstheme="minorHAnsi"/>
        </w:rPr>
        <w:t xml:space="preserve"> GPs to meet with their peers for at le</w:t>
      </w:r>
      <w:r w:rsidR="00DB7ABE">
        <w:rPr>
          <w:rFonts w:cstheme="minorHAnsi"/>
        </w:rPr>
        <w:t xml:space="preserve">ast 90 minutes in a protected, </w:t>
      </w:r>
      <w:r w:rsidR="003D618B" w:rsidRPr="005F2CC2">
        <w:rPr>
          <w:rFonts w:cstheme="minorHAnsi"/>
        </w:rPr>
        <w:t>facilitated space.</w:t>
      </w:r>
      <w:r w:rsidR="001D4A06">
        <w:rPr>
          <w:rFonts w:cstheme="minorHAnsi"/>
        </w:rPr>
        <w:t xml:space="preserve"> </w:t>
      </w:r>
      <w:r w:rsidR="00423518">
        <w:rPr>
          <w:rFonts w:cstheme="minorHAnsi"/>
        </w:rPr>
        <w:t xml:space="preserve"> </w:t>
      </w:r>
      <w:r w:rsidR="001D4A06">
        <w:rPr>
          <w:rFonts w:cstheme="minorHAnsi"/>
        </w:rPr>
        <w:t>Each 90 mins as well as enabling some important “downtime” represents 90 minutes of reflection on your practice, recognised as a key part of your CPD.</w:t>
      </w:r>
    </w:p>
    <w:p w:rsidR="003D618B" w:rsidRPr="005F2CC2" w:rsidRDefault="001D4A06" w:rsidP="003D618B">
      <w:pPr>
        <w:rPr>
          <w:rFonts w:cstheme="minorHAnsi"/>
        </w:rPr>
      </w:pPr>
      <w:r>
        <w:rPr>
          <w:rFonts w:cstheme="minorHAnsi"/>
        </w:rPr>
        <w:t>The Group Peer Support (</w:t>
      </w:r>
      <w:r w:rsidR="008A3332" w:rsidRPr="007D34E1">
        <w:rPr>
          <w:rFonts w:cstheme="minorHAnsi"/>
          <w:b/>
          <w:i/>
        </w:rPr>
        <w:t>GPS</w:t>
      </w:r>
      <w:r>
        <w:rPr>
          <w:rFonts w:cstheme="minorHAnsi"/>
        </w:rPr>
        <w:t>) scheme</w:t>
      </w:r>
      <w:r w:rsidR="008A3332">
        <w:rPr>
          <w:rFonts w:cstheme="minorHAnsi"/>
        </w:rPr>
        <w:t xml:space="preserve"> will </w:t>
      </w:r>
      <w:r w:rsidR="003D618B" w:rsidRPr="005F2CC2">
        <w:rPr>
          <w:rFonts w:cstheme="minorHAnsi"/>
        </w:rPr>
        <w:t xml:space="preserve">be implemented over the next five years. </w:t>
      </w:r>
    </w:p>
    <w:p w:rsidR="003D618B" w:rsidRPr="005F2CC2" w:rsidRDefault="003D618B" w:rsidP="0020678B">
      <w:pPr>
        <w:rPr>
          <w:rFonts w:cstheme="minorHAnsi"/>
          <w:b/>
        </w:rPr>
      </w:pPr>
      <w:r w:rsidRPr="005F2CC2">
        <w:rPr>
          <w:rFonts w:cstheme="minorHAnsi"/>
          <w:b/>
        </w:rPr>
        <w:t>The concept</w:t>
      </w:r>
    </w:p>
    <w:p w:rsidR="003D618B" w:rsidRPr="005F2CC2" w:rsidRDefault="003D618B" w:rsidP="003D618B">
      <w:pPr>
        <w:rPr>
          <w:rFonts w:cstheme="minorHAnsi"/>
        </w:rPr>
      </w:pPr>
      <w:r w:rsidRPr="005F2CC2">
        <w:rPr>
          <w:rFonts w:cstheme="minorHAnsi"/>
        </w:rPr>
        <w:t xml:space="preserve">The NHS Practitioner Health Programme and more recently NHS GP Health </w:t>
      </w:r>
      <w:r w:rsidR="007841BC">
        <w:rPr>
          <w:rFonts w:cstheme="minorHAnsi"/>
        </w:rPr>
        <w:t xml:space="preserve">Service </w:t>
      </w:r>
      <w:r w:rsidRPr="005F2CC2">
        <w:rPr>
          <w:rFonts w:cstheme="minorHAnsi"/>
        </w:rPr>
        <w:t xml:space="preserve">are </w:t>
      </w:r>
      <w:r w:rsidRPr="0020678B">
        <w:rPr>
          <w:rFonts w:cstheme="minorHAnsi"/>
        </w:rPr>
        <w:t>aimed at those GPs who become mentally unwell</w:t>
      </w:r>
      <w:r w:rsidRPr="005F2CC2">
        <w:rPr>
          <w:rFonts w:cstheme="minorHAnsi"/>
        </w:rPr>
        <w:t>.</w:t>
      </w:r>
    </w:p>
    <w:p w:rsidR="003D618B" w:rsidRPr="0020678B" w:rsidRDefault="003D618B" w:rsidP="003D618B">
      <w:pPr>
        <w:rPr>
          <w:rFonts w:cstheme="minorHAnsi"/>
        </w:rPr>
      </w:pPr>
      <w:r w:rsidRPr="005F2CC2">
        <w:rPr>
          <w:rFonts w:cstheme="minorHAnsi"/>
        </w:rPr>
        <w:t>However</w:t>
      </w:r>
      <w:r w:rsidR="008A3332">
        <w:rPr>
          <w:rFonts w:cstheme="minorHAnsi"/>
        </w:rPr>
        <w:t>,</w:t>
      </w:r>
      <w:r w:rsidRPr="005F2CC2">
        <w:rPr>
          <w:rFonts w:cstheme="minorHAnsi"/>
        </w:rPr>
        <w:t xml:space="preserve"> </w:t>
      </w:r>
      <w:r w:rsidRPr="0020678B">
        <w:rPr>
          <w:rFonts w:cstheme="minorHAnsi"/>
        </w:rPr>
        <w:t xml:space="preserve">we believe that it is important that </w:t>
      </w:r>
      <w:r w:rsidRPr="0020678B">
        <w:rPr>
          <w:rFonts w:cstheme="minorHAnsi"/>
          <w:b/>
        </w:rPr>
        <w:t>all</w:t>
      </w:r>
      <w:r w:rsidRPr="0020678B">
        <w:rPr>
          <w:rFonts w:cstheme="minorHAnsi"/>
        </w:rPr>
        <w:t xml:space="preserve"> GPs are supported to stay well and have the opportunity to l</w:t>
      </w:r>
      <w:r w:rsidR="008A3332">
        <w:rPr>
          <w:rFonts w:cstheme="minorHAnsi"/>
        </w:rPr>
        <w:t xml:space="preserve">earn and develop the techniques, as a part of CPD, </w:t>
      </w:r>
      <w:r w:rsidRPr="0020678B">
        <w:rPr>
          <w:rFonts w:cstheme="minorHAnsi"/>
        </w:rPr>
        <w:t xml:space="preserve">to maintain their own wellbeing and have the time and space to do this. </w:t>
      </w:r>
      <w:r w:rsidR="007841BC">
        <w:rPr>
          <w:rFonts w:cstheme="minorHAnsi"/>
        </w:rPr>
        <w:t>This should form an essential part of their individual continuous professional practice</w:t>
      </w:r>
      <w:r w:rsidR="007D34E1">
        <w:rPr>
          <w:rFonts w:cstheme="minorHAnsi"/>
        </w:rPr>
        <w:t xml:space="preserve"> and </w:t>
      </w:r>
      <w:r w:rsidR="006F1C37">
        <w:rPr>
          <w:rFonts w:cstheme="minorHAnsi"/>
        </w:rPr>
        <w:t>development</w:t>
      </w:r>
      <w:r w:rsidR="007841BC">
        <w:rPr>
          <w:rFonts w:cstheme="minorHAnsi"/>
        </w:rPr>
        <w:t xml:space="preserve">.  </w:t>
      </w:r>
      <w:r w:rsidRPr="0020678B">
        <w:rPr>
          <w:rFonts w:cstheme="minorHAnsi"/>
        </w:rPr>
        <w:t>There is evidence that peer support groups, including Balint, reflective practice groups, action learning sets, ‘young’ practitioner groups</w:t>
      </w:r>
      <w:r w:rsidR="005F2CC2">
        <w:rPr>
          <w:rFonts w:cstheme="minorHAnsi"/>
        </w:rPr>
        <w:t xml:space="preserve"> </w:t>
      </w:r>
      <w:r w:rsidRPr="0020678B">
        <w:rPr>
          <w:rFonts w:cstheme="minorHAnsi"/>
        </w:rPr>
        <w:t>and other interventions where doctors (and other staff) come together improves morale, reduces burn out and contributes towards lifelong learning</w:t>
      </w:r>
      <w:r w:rsidR="0092047D">
        <w:rPr>
          <w:rFonts w:cstheme="minorHAnsi"/>
        </w:rPr>
        <w:t>;</w:t>
      </w:r>
      <w:r w:rsidR="005D3AAD">
        <w:rPr>
          <w:rFonts w:cstheme="minorHAnsi"/>
        </w:rPr>
        <w:t xml:space="preserve"> but c</w:t>
      </w:r>
      <w:r w:rsidRPr="0020678B">
        <w:rPr>
          <w:rFonts w:cstheme="minorHAnsi"/>
        </w:rPr>
        <w:t>urrently there is little time in the working day of GPs to come together for periods of reflection, peer support or peer learning.</w:t>
      </w:r>
      <w:r w:rsidR="005D3AAD">
        <w:rPr>
          <w:rFonts w:cstheme="minorHAnsi"/>
        </w:rPr>
        <w:t xml:space="preserve">  </w:t>
      </w:r>
      <w:r w:rsidR="005D3AAD" w:rsidRPr="007D34E1">
        <w:rPr>
          <w:rFonts w:cstheme="minorHAnsi"/>
          <w:b/>
          <w:i/>
        </w:rPr>
        <w:t>GPS</w:t>
      </w:r>
      <w:r w:rsidR="005D3AAD">
        <w:rPr>
          <w:rFonts w:cstheme="minorHAnsi"/>
        </w:rPr>
        <w:t xml:space="preserve"> will support GPs to find this time.</w:t>
      </w:r>
      <w:r w:rsidRPr="0020678B">
        <w:rPr>
          <w:rFonts w:cstheme="minorHAnsi"/>
        </w:rPr>
        <w:t xml:space="preserve"> </w:t>
      </w:r>
    </w:p>
    <w:p w:rsidR="003D618B" w:rsidRDefault="007841BC" w:rsidP="0020678B">
      <w:pPr>
        <w:rPr>
          <w:rFonts w:cstheme="minorHAnsi"/>
        </w:rPr>
      </w:pPr>
      <w:r>
        <w:rPr>
          <w:rFonts w:cstheme="minorHAnsi"/>
        </w:rPr>
        <w:lastRenderedPageBreak/>
        <w:t xml:space="preserve">We wish to work with GPs </w:t>
      </w:r>
      <w:r w:rsidR="003D618B" w:rsidRPr="005F2CC2">
        <w:rPr>
          <w:rFonts w:cstheme="minorHAnsi"/>
        </w:rPr>
        <w:t>to develop around 50 GP peer support groups across England (PHP/GPH only have a remit for England) to understand the value and impact that 90 minutes of facilitated peer support can provide</w:t>
      </w:r>
      <w:r w:rsidR="00E457AA">
        <w:rPr>
          <w:rFonts w:cstheme="minorHAnsi"/>
        </w:rPr>
        <w:t>.</w:t>
      </w:r>
      <w:r w:rsidR="003D618B" w:rsidRPr="005F2CC2">
        <w:rPr>
          <w:rFonts w:cstheme="minorHAnsi"/>
        </w:rPr>
        <w:t xml:space="preserve"> The group attendees will be asked to </w:t>
      </w:r>
      <w:r w:rsidR="007D34E1">
        <w:rPr>
          <w:rFonts w:cstheme="minorHAnsi"/>
        </w:rPr>
        <w:t xml:space="preserve">complete some basic demographics and </w:t>
      </w:r>
      <w:r w:rsidR="003D618B" w:rsidRPr="005F2CC2">
        <w:rPr>
          <w:rFonts w:cstheme="minorHAnsi"/>
        </w:rPr>
        <w:t>contribute to an evaluation process to support the development of the principle on a wide</w:t>
      </w:r>
      <w:r w:rsidR="005D3AAD">
        <w:rPr>
          <w:rFonts w:cstheme="minorHAnsi"/>
        </w:rPr>
        <w:t>-</w:t>
      </w:r>
      <w:r w:rsidR="003D618B" w:rsidRPr="005F2CC2">
        <w:rPr>
          <w:rFonts w:cstheme="minorHAnsi"/>
        </w:rPr>
        <w:t>scale basis</w:t>
      </w:r>
      <w:r w:rsidR="005F2CC2" w:rsidRPr="005F2CC2">
        <w:rPr>
          <w:rFonts w:cstheme="minorHAnsi"/>
        </w:rPr>
        <w:t>.</w:t>
      </w:r>
      <w:r w:rsidR="003D618B" w:rsidRPr="005F2CC2">
        <w:rPr>
          <w:rFonts w:cstheme="minorHAnsi"/>
        </w:rPr>
        <w:t xml:space="preserve"> </w:t>
      </w:r>
    </w:p>
    <w:p w:rsidR="006F1C37" w:rsidRDefault="006F1C37" w:rsidP="0020678B">
      <w:pPr>
        <w:rPr>
          <w:rFonts w:cstheme="minorHAnsi"/>
        </w:rPr>
      </w:pPr>
    </w:p>
    <w:p w:rsidR="003D618B" w:rsidRPr="005F2CC2" w:rsidRDefault="003D618B" w:rsidP="0020678B">
      <w:pPr>
        <w:rPr>
          <w:rFonts w:cstheme="minorHAnsi"/>
          <w:b/>
        </w:rPr>
      </w:pPr>
      <w:r w:rsidRPr="005F2CC2">
        <w:rPr>
          <w:rFonts w:cstheme="minorHAnsi"/>
          <w:b/>
        </w:rPr>
        <w:t>The offering</w:t>
      </w:r>
    </w:p>
    <w:p w:rsidR="006F1C37" w:rsidRPr="005F2CC2" w:rsidRDefault="006F1C37" w:rsidP="006F1C37">
      <w:pPr>
        <w:rPr>
          <w:rFonts w:cstheme="minorHAnsi"/>
        </w:rPr>
      </w:pPr>
      <w:r>
        <w:rPr>
          <w:rFonts w:cstheme="minorHAnsi"/>
        </w:rPr>
        <w:t xml:space="preserve">If you and a group of colleagues would be interested in establishing a local group let us know. </w:t>
      </w:r>
    </w:p>
    <w:p w:rsidR="006F1C37" w:rsidRDefault="005F2CC2" w:rsidP="0020678B">
      <w:pPr>
        <w:rPr>
          <w:rFonts w:cstheme="minorHAnsi"/>
        </w:rPr>
      </w:pPr>
      <w:r>
        <w:rPr>
          <w:rFonts w:cstheme="minorHAnsi"/>
        </w:rPr>
        <w:t xml:space="preserve">The PHP/GPH will fund up to 900 minutes of facilitator support per group. Each </w:t>
      </w:r>
      <w:r w:rsidR="005D3AAD" w:rsidRPr="006F1C37">
        <w:rPr>
          <w:rFonts w:cstheme="minorHAnsi"/>
          <w:b/>
          <w:i/>
        </w:rPr>
        <w:t>GPS</w:t>
      </w:r>
      <w:r w:rsidR="005D3AAD">
        <w:rPr>
          <w:rFonts w:cstheme="minorHAnsi"/>
        </w:rPr>
        <w:t xml:space="preserve"> </w:t>
      </w:r>
      <w:r>
        <w:rPr>
          <w:rFonts w:cstheme="minorHAnsi"/>
        </w:rPr>
        <w:t xml:space="preserve">group </w:t>
      </w:r>
      <w:r w:rsidR="005D3AAD">
        <w:rPr>
          <w:rFonts w:cstheme="minorHAnsi"/>
        </w:rPr>
        <w:t>will</w:t>
      </w:r>
      <w:r>
        <w:rPr>
          <w:rFonts w:cstheme="minorHAnsi"/>
        </w:rPr>
        <w:t xml:space="preserve"> consist of </w:t>
      </w:r>
      <w:r w:rsidR="005D3AAD">
        <w:rPr>
          <w:rFonts w:cstheme="minorHAnsi"/>
        </w:rPr>
        <w:t xml:space="preserve">between </w:t>
      </w:r>
      <w:r>
        <w:rPr>
          <w:rFonts w:cstheme="minorHAnsi"/>
        </w:rPr>
        <w:t xml:space="preserve">circa </w:t>
      </w:r>
      <w:r w:rsidR="007841BC">
        <w:rPr>
          <w:rFonts w:cstheme="minorHAnsi"/>
        </w:rPr>
        <w:t>8-</w:t>
      </w:r>
      <w:r>
        <w:rPr>
          <w:rFonts w:cstheme="minorHAnsi"/>
        </w:rPr>
        <w:t xml:space="preserve">12 attendees. </w:t>
      </w:r>
      <w:r w:rsidR="0020678B" w:rsidRPr="005F2CC2">
        <w:rPr>
          <w:rFonts w:cstheme="minorHAnsi"/>
        </w:rPr>
        <w:t xml:space="preserve">The groups </w:t>
      </w:r>
      <w:r w:rsidR="00E738BF">
        <w:rPr>
          <w:rFonts w:cstheme="minorHAnsi"/>
        </w:rPr>
        <w:t>should have a focus on peer support, reflection</w:t>
      </w:r>
      <w:r w:rsidR="00E738BF" w:rsidRPr="00E738BF">
        <w:rPr>
          <w:rFonts w:cstheme="minorHAnsi"/>
        </w:rPr>
        <w:t xml:space="preserve"> </w:t>
      </w:r>
      <w:r w:rsidR="00E738BF">
        <w:rPr>
          <w:rFonts w:cstheme="minorHAnsi"/>
        </w:rPr>
        <w:t xml:space="preserve">e.g. </w:t>
      </w:r>
      <w:r w:rsidR="00E738BF" w:rsidRPr="005F2CC2">
        <w:rPr>
          <w:rFonts w:cstheme="minorHAnsi"/>
        </w:rPr>
        <w:t>Balint</w:t>
      </w:r>
      <w:r w:rsidR="00E738BF">
        <w:rPr>
          <w:rFonts w:cstheme="minorHAnsi"/>
        </w:rPr>
        <w:t xml:space="preserve"> and/or resilience</w:t>
      </w:r>
      <w:r w:rsidR="0020678B" w:rsidRPr="005F2CC2">
        <w:rPr>
          <w:rFonts w:cstheme="minorHAnsi"/>
        </w:rPr>
        <w:t>.</w:t>
      </w:r>
      <w:r>
        <w:rPr>
          <w:rFonts w:cstheme="minorHAnsi"/>
        </w:rPr>
        <w:t xml:space="preserve"> </w:t>
      </w:r>
      <w:r w:rsidR="007841BC">
        <w:rPr>
          <w:rFonts w:cstheme="minorHAnsi"/>
        </w:rPr>
        <w:t xml:space="preserve"> </w:t>
      </w:r>
    </w:p>
    <w:p w:rsidR="006F1C37" w:rsidRDefault="007841BC" w:rsidP="0020678B">
      <w:pPr>
        <w:rPr>
          <w:rFonts w:cstheme="minorHAnsi"/>
        </w:rPr>
      </w:pPr>
      <w:r>
        <w:rPr>
          <w:rFonts w:cstheme="minorHAnsi"/>
        </w:rPr>
        <w:t>Groups can</w:t>
      </w:r>
      <w:r w:rsidR="005F2CC2">
        <w:rPr>
          <w:rFonts w:cstheme="minorHAnsi"/>
        </w:rPr>
        <w:t xml:space="preserve"> be run on a weekly/monthly basis for 90 minutes per event or used as block amounts to create peer support days.</w:t>
      </w:r>
      <w:r w:rsidR="00DB7ABE">
        <w:rPr>
          <w:rFonts w:cstheme="minorHAnsi"/>
        </w:rPr>
        <w:t xml:space="preserve"> </w:t>
      </w:r>
    </w:p>
    <w:p w:rsidR="006F1C37" w:rsidRDefault="00DB7ABE" w:rsidP="0020678B">
      <w:pPr>
        <w:rPr>
          <w:rFonts w:cstheme="minorHAnsi"/>
        </w:rPr>
      </w:pPr>
      <w:r>
        <w:rPr>
          <w:rFonts w:cstheme="minorHAnsi"/>
        </w:rPr>
        <w:t xml:space="preserve">The facilitator will need to be independent of the GPs and we will contribute </w:t>
      </w:r>
      <w:r w:rsidR="005D3AAD">
        <w:rPr>
          <w:rFonts w:cstheme="minorHAnsi"/>
        </w:rPr>
        <w:t xml:space="preserve">funding for this </w:t>
      </w:r>
      <w:r>
        <w:rPr>
          <w:rFonts w:cstheme="minorHAnsi"/>
        </w:rPr>
        <w:t>according to our tariff.</w:t>
      </w:r>
      <w:r w:rsidR="006F1C37">
        <w:rPr>
          <w:rFonts w:cstheme="minorHAnsi"/>
        </w:rPr>
        <w:t xml:space="preserve"> We have an arrangement with the Institute of Group Analysis who can assist in finding a local facilitator for your group.</w:t>
      </w:r>
    </w:p>
    <w:p w:rsidR="006F1C37" w:rsidRDefault="006F1C37" w:rsidP="0020678B">
      <w:pPr>
        <w:rPr>
          <w:rFonts w:cstheme="minorHAnsi"/>
        </w:rPr>
      </w:pPr>
      <w:r>
        <w:rPr>
          <w:rFonts w:cstheme="minorHAnsi"/>
        </w:rPr>
        <w:t>Unfortunately we cannot fund costs of backfill or premises as part of this scheme.</w:t>
      </w:r>
    </w:p>
    <w:p w:rsidR="008A3332" w:rsidRDefault="005F2CC2" w:rsidP="0020678B">
      <w:pPr>
        <w:rPr>
          <w:rStyle w:val="Hyperlink"/>
        </w:rPr>
      </w:pPr>
      <w:r>
        <w:t xml:space="preserve">Contact for further information: </w:t>
      </w:r>
      <w:r w:rsidR="003D3601">
        <w:t>Lynne Simpson</w:t>
      </w:r>
      <w:r>
        <w:t xml:space="preserve">, </w:t>
      </w:r>
      <w:r w:rsidRPr="006F1C37">
        <w:rPr>
          <w:b/>
          <w:i/>
        </w:rPr>
        <w:t>Group Peer Support</w:t>
      </w:r>
      <w:r>
        <w:t xml:space="preserve"> Lead </w:t>
      </w:r>
      <w:r w:rsidR="003D3601">
        <w:t>–</w:t>
      </w:r>
      <w:r>
        <w:t xml:space="preserve"> </w:t>
      </w:r>
      <w:hyperlink r:id="rId10" w:history="1">
        <w:r w:rsidR="003D3601" w:rsidRPr="00971A95">
          <w:rPr>
            <w:rStyle w:val="Hyperlink"/>
          </w:rPr>
          <w:t>lynne.simpson5@nhs.net</w:t>
        </w:r>
      </w:hyperlink>
    </w:p>
    <w:p w:rsidR="000B674D" w:rsidRDefault="000B674D" w:rsidP="0020678B">
      <w:pPr>
        <w:rPr>
          <w:rStyle w:val="Hyperlink"/>
        </w:rPr>
      </w:pPr>
    </w:p>
    <w:p w:rsidR="000B674D" w:rsidRDefault="000B674D" w:rsidP="0020678B">
      <w:pPr>
        <w:rPr>
          <w:rStyle w:val="Hyperlink"/>
        </w:rPr>
      </w:pPr>
    </w:p>
    <w:p w:rsidR="000B674D" w:rsidRPr="008A3332" w:rsidRDefault="000B674D" w:rsidP="0020678B">
      <w:pPr>
        <w:rPr>
          <w:color w:val="0000FF"/>
          <w:u w:val="single"/>
        </w:rPr>
      </w:pPr>
    </w:p>
    <w:sectPr w:rsidR="000B674D" w:rsidRPr="008A3332" w:rsidSect="004812C9">
      <w:pgSz w:w="11906" w:h="16838"/>
      <w:pgMar w:top="1134" w:right="1361" w:bottom="1134"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05" w:rsidRDefault="00755C05" w:rsidP="0020678B">
      <w:pPr>
        <w:spacing w:after="0" w:line="240" w:lineRule="auto"/>
      </w:pPr>
      <w:r>
        <w:separator/>
      </w:r>
    </w:p>
  </w:endnote>
  <w:endnote w:type="continuationSeparator" w:id="0">
    <w:p w:rsidR="00755C05" w:rsidRDefault="00755C05" w:rsidP="0020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05" w:rsidRDefault="00755C05" w:rsidP="0020678B">
      <w:pPr>
        <w:spacing w:after="0" w:line="240" w:lineRule="auto"/>
      </w:pPr>
      <w:r>
        <w:separator/>
      </w:r>
    </w:p>
  </w:footnote>
  <w:footnote w:type="continuationSeparator" w:id="0">
    <w:p w:rsidR="00755C05" w:rsidRDefault="00755C05" w:rsidP="0020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B03E63"/>
    <w:multiLevelType w:val="hybridMultilevel"/>
    <w:tmpl w:val="131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8B"/>
    <w:rsid w:val="0003108F"/>
    <w:rsid w:val="00054764"/>
    <w:rsid w:val="000A296B"/>
    <w:rsid w:val="000B674D"/>
    <w:rsid w:val="000C03F4"/>
    <w:rsid w:val="000C45BC"/>
    <w:rsid w:val="000F23DC"/>
    <w:rsid w:val="000F548C"/>
    <w:rsid w:val="00125761"/>
    <w:rsid w:val="00127946"/>
    <w:rsid w:val="00177FC0"/>
    <w:rsid w:val="001B13D0"/>
    <w:rsid w:val="001B5456"/>
    <w:rsid w:val="001D4A06"/>
    <w:rsid w:val="001D7092"/>
    <w:rsid w:val="001E23E3"/>
    <w:rsid w:val="001E7BC5"/>
    <w:rsid w:val="001F5376"/>
    <w:rsid w:val="0020678B"/>
    <w:rsid w:val="00232105"/>
    <w:rsid w:val="00247933"/>
    <w:rsid w:val="002547B7"/>
    <w:rsid w:val="00264B16"/>
    <w:rsid w:val="0028546E"/>
    <w:rsid w:val="0029157C"/>
    <w:rsid w:val="00293885"/>
    <w:rsid w:val="0033437C"/>
    <w:rsid w:val="003537E1"/>
    <w:rsid w:val="00356CA2"/>
    <w:rsid w:val="00372710"/>
    <w:rsid w:val="003C0969"/>
    <w:rsid w:val="003D3601"/>
    <w:rsid w:val="003D3ED1"/>
    <w:rsid w:val="003D618B"/>
    <w:rsid w:val="003D7048"/>
    <w:rsid w:val="003E306F"/>
    <w:rsid w:val="003E7793"/>
    <w:rsid w:val="0040297B"/>
    <w:rsid w:val="004068E1"/>
    <w:rsid w:val="00423518"/>
    <w:rsid w:val="00441612"/>
    <w:rsid w:val="00441E6B"/>
    <w:rsid w:val="004812C9"/>
    <w:rsid w:val="00486D57"/>
    <w:rsid w:val="00490B91"/>
    <w:rsid w:val="00490C92"/>
    <w:rsid w:val="00571907"/>
    <w:rsid w:val="005863C3"/>
    <w:rsid w:val="0058789D"/>
    <w:rsid w:val="005A673E"/>
    <w:rsid w:val="005C70E7"/>
    <w:rsid w:val="005D3AAD"/>
    <w:rsid w:val="005F2CC2"/>
    <w:rsid w:val="006065AF"/>
    <w:rsid w:val="00610116"/>
    <w:rsid w:val="00622E64"/>
    <w:rsid w:val="006247C6"/>
    <w:rsid w:val="00654FED"/>
    <w:rsid w:val="00664B94"/>
    <w:rsid w:val="00677020"/>
    <w:rsid w:val="006805C3"/>
    <w:rsid w:val="00692636"/>
    <w:rsid w:val="006B1698"/>
    <w:rsid w:val="006E469F"/>
    <w:rsid w:val="006F1C37"/>
    <w:rsid w:val="006F5F1C"/>
    <w:rsid w:val="007444A0"/>
    <w:rsid w:val="00755C05"/>
    <w:rsid w:val="007841BC"/>
    <w:rsid w:val="007D34E1"/>
    <w:rsid w:val="007E4CDE"/>
    <w:rsid w:val="00803015"/>
    <w:rsid w:val="00803A52"/>
    <w:rsid w:val="00847ECE"/>
    <w:rsid w:val="008524EE"/>
    <w:rsid w:val="008A3332"/>
    <w:rsid w:val="008C516B"/>
    <w:rsid w:val="008F4B07"/>
    <w:rsid w:val="00900EC3"/>
    <w:rsid w:val="009132E0"/>
    <w:rsid w:val="0092047D"/>
    <w:rsid w:val="00931B57"/>
    <w:rsid w:val="00997BE8"/>
    <w:rsid w:val="009A4A85"/>
    <w:rsid w:val="009E51DC"/>
    <w:rsid w:val="00A03AD5"/>
    <w:rsid w:val="00A07DAE"/>
    <w:rsid w:val="00A1671A"/>
    <w:rsid w:val="00A17165"/>
    <w:rsid w:val="00AC02F9"/>
    <w:rsid w:val="00B068F1"/>
    <w:rsid w:val="00B1605F"/>
    <w:rsid w:val="00B43460"/>
    <w:rsid w:val="00B62E6A"/>
    <w:rsid w:val="00B771E5"/>
    <w:rsid w:val="00B9457B"/>
    <w:rsid w:val="00BD4ED3"/>
    <w:rsid w:val="00BF5980"/>
    <w:rsid w:val="00C75D39"/>
    <w:rsid w:val="00D8619B"/>
    <w:rsid w:val="00DB7ABE"/>
    <w:rsid w:val="00DD59AA"/>
    <w:rsid w:val="00DE4C10"/>
    <w:rsid w:val="00DF4EA7"/>
    <w:rsid w:val="00E457AA"/>
    <w:rsid w:val="00E56AE9"/>
    <w:rsid w:val="00E738BF"/>
    <w:rsid w:val="00E75E15"/>
    <w:rsid w:val="00E83219"/>
    <w:rsid w:val="00E95939"/>
    <w:rsid w:val="00EB3BD8"/>
    <w:rsid w:val="00EC7908"/>
    <w:rsid w:val="00EC7DE1"/>
    <w:rsid w:val="00EF0696"/>
    <w:rsid w:val="00F001F0"/>
    <w:rsid w:val="00F110A8"/>
    <w:rsid w:val="00F22103"/>
    <w:rsid w:val="00F32185"/>
    <w:rsid w:val="00F3757B"/>
    <w:rsid w:val="00F83161"/>
    <w:rsid w:val="00F91EA2"/>
    <w:rsid w:val="00FA2257"/>
    <w:rsid w:val="00FA35BD"/>
    <w:rsid w:val="00FE47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6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78B"/>
    <w:rPr>
      <w:sz w:val="20"/>
      <w:szCs w:val="20"/>
    </w:rPr>
  </w:style>
  <w:style w:type="character" w:styleId="EndnoteReference">
    <w:name w:val="endnote reference"/>
    <w:basedOn w:val="DefaultParagraphFont"/>
    <w:uiPriority w:val="99"/>
    <w:unhideWhenUsed/>
    <w:rsid w:val="0020678B"/>
    <w:rPr>
      <w:vertAlign w:val="superscript"/>
    </w:rPr>
  </w:style>
  <w:style w:type="character" w:styleId="Hyperlink">
    <w:name w:val="Hyperlink"/>
    <w:uiPriority w:val="99"/>
    <w:rsid w:val="0020678B"/>
    <w:rPr>
      <w:color w:val="0000FF"/>
      <w:u w:val="single"/>
    </w:rPr>
  </w:style>
  <w:style w:type="paragraph" w:styleId="BalloonText">
    <w:name w:val="Balloon Text"/>
    <w:basedOn w:val="Normal"/>
    <w:link w:val="BalloonTextChar"/>
    <w:uiPriority w:val="99"/>
    <w:semiHidden/>
    <w:unhideWhenUsed/>
    <w:rsid w:val="008F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07"/>
    <w:rPr>
      <w:rFonts w:ascii="Tahoma" w:hAnsi="Tahoma" w:cs="Tahoma"/>
      <w:sz w:val="16"/>
      <w:szCs w:val="16"/>
    </w:rPr>
  </w:style>
  <w:style w:type="paragraph" w:styleId="ListParagraph">
    <w:name w:val="List Paragraph"/>
    <w:basedOn w:val="Normal"/>
    <w:uiPriority w:val="34"/>
    <w:qFormat/>
    <w:rsid w:val="0028546E"/>
    <w:pPr>
      <w:spacing w:after="200" w:line="276" w:lineRule="auto"/>
      <w:ind w:left="720"/>
      <w:contextualSpacing/>
    </w:pPr>
  </w:style>
  <w:style w:type="paragraph" w:styleId="NoSpacing">
    <w:name w:val="No Spacing"/>
    <w:uiPriority w:val="1"/>
    <w:qFormat/>
    <w:rsid w:val="007841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6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78B"/>
    <w:rPr>
      <w:sz w:val="20"/>
      <w:szCs w:val="20"/>
    </w:rPr>
  </w:style>
  <w:style w:type="character" w:styleId="EndnoteReference">
    <w:name w:val="endnote reference"/>
    <w:basedOn w:val="DefaultParagraphFont"/>
    <w:uiPriority w:val="99"/>
    <w:unhideWhenUsed/>
    <w:rsid w:val="0020678B"/>
    <w:rPr>
      <w:vertAlign w:val="superscript"/>
    </w:rPr>
  </w:style>
  <w:style w:type="character" w:styleId="Hyperlink">
    <w:name w:val="Hyperlink"/>
    <w:uiPriority w:val="99"/>
    <w:rsid w:val="0020678B"/>
    <w:rPr>
      <w:color w:val="0000FF"/>
      <w:u w:val="single"/>
    </w:rPr>
  </w:style>
  <w:style w:type="paragraph" w:styleId="BalloonText">
    <w:name w:val="Balloon Text"/>
    <w:basedOn w:val="Normal"/>
    <w:link w:val="BalloonTextChar"/>
    <w:uiPriority w:val="99"/>
    <w:semiHidden/>
    <w:unhideWhenUsed/>
    <w:rsid w:val="008F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07"/>
    <w:rPr>
      <w:rFonts w:ascii="Tahoma" w:hAnsi="Tahoma" w:cs="Tahoma"/>
      <w:sz w:val="16"/>
      <w:szCs w:val="16"/>
    </w:rPr>
  </w:style>
  <w:style w:type="paragraph" w:styleId="ListParagraph">
    <w:name w:val="List Paragraph"/>
    <w:basedOn w:val="Normal"/>
    <w:uiPriority w:val="34"/>
    <w:qFormat/>
    <w:rsid w:val="0028546E"/>
    <w:pPr>
      <w:spacing w:after="200" w:line="276" w:lineRule="auto"/>
      <w:ind w:left="720"/>
      <w:contextualSpacing/>
    </w:pPr>
  </w:style>
  <w:style w:type="paragraph" w:styleId="NoSpacing">
    <w:name w:val="No Spacing"/>
    <w:uiPriority w:val="1"/>
    <w:qFormat/>
    <w:rsid w:val="00784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ne.simpson5@nhs.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Warner</dc:creator>
  <cp:lastModifiedBy>Hellens Jill (Somerset LMC)</cp:lastModifiedBy>
  <cp:revision>2</cp:revision>
  <cp:lastPrinted>2017-11-27T18:25:00Z</cp:lastPrinted>
  <dcterms:created xsi:type="dcterms:W3CDTF">2018-01-19T09:23:00Z</dcterms:created>
  <dcterms:modified xsi:type="dcterms:W3CDTF">2018-01-19T09:23:00Z</dcterms:modified>
</cp:coreProperties>
</file>