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2B" w:rsidRDefault="00BA472B" w:rsidP="00BA472B">
      <w:pPr>
        <w:pStyle w:val="NoSpacing"/>
        <w:jc w:val="center"/>
      </w:pPr>
      <w:r>
        <w:rPr>
          <w:noProof/>
          <w:lang w:eastAsia="en-GB"/>
        </w:rPr>
        <w:drawing>
          <wp:inline distT="0" distB="0" distL="0" distR="0">
            <wp:extent cx="15716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_BLK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736" cy="1571736"/>
                    </a:xfrm>
                    <a:prstGeom prst="rect">
                      <a:avLst/>
                    </a:prstGeom>
                  </pic:spPr>
                </pic:pic>
              </a:graphicData>
            </a:graphic>
          </wp:inline>
        </w:drawing>
      </w:r>
    </w:p>
    <w:p w:rsidR="00BA472B" w:rsidRPr="0007227A" w:rsidRDefault="00BA472B" w:rsidP="0007227A">
      <w:pPr>
        <w:pStyle w:val="NoSpacing"/>
        <w:jc w:val="center"/>
        <w:rPr>
          <w:b/>
          <w:color w:val="7030A0"/>
          <w:sz w:val="40"/>
          <w:szCs w:val="40"/>
        </w:rPr>
      </w:pPr>
      <w:r w:rsidRPr="0007227A">
        <w:rPr>
          <w:b/>
          <w:color w:val="7030A0"/>
          <w:sz w:val="40"/>
          <w:szCs w:val="40"/>
        </w:rPr>
        <w:t>Seasonal Flu Vaccine Offers 201</w:t>
      </w:r>
      <w:r w:rsidR="00A6123D">
        <w:rPr>
          <w:b/>
          <w:color w:val="7030A0"/>
          <w:sz w:val="40"/>
          <w:szCs w:val="40"/>
        </w:rPr>
        <w:t>7</w:t>
      </w:r>
      <w:r w:rsidR="00570E3B">
        <w:rPr>
          <w:b/>
          <w:color w:val="7030A0"/>
          <w:sz w:val="40"/>
          <w:szCs w:val="40"/>
        </w:rPr>
        <w:t>-</w:t>
      </w:r>
      <w:r w:rsidRPr="0007227A">
        <w:rPr>
          <w:b/>
          <w:color w:val="7030A0"/>
          <w:sz w:val="40"/>
          <w:szCs w:val="40"/>
        </w:rPr>
        <w:t>1</w:t>
      </w:r>
      <w:r w:rsidR="00A6123D">
        <w:rPr>
          <w:b/>
          <w:color w:val="7030A0"/>
          <w:sz w:val="40"/>
          <w:szCs w:val="40"/>
        </w:rPr>
        <w:t>8</w:t>
      </w:r>
    </w:p>
    <w:p w:rsidR="00BA472B" w:rsidRDefault="00BA472B" w:rsidP="00BA472B">
      <w:pPr>
        <w:pStyle w:val="NoSpacing"/>
      </w:pPr>
    </w:p>
    <w:p w:rsidR="00BA472B" w:rsidRPr="00A34974" w:rsidRDefault="00BA472B" w:rsidP="00BA472B">
      <w:pPr>
        <w:pStyle w:val="NoSpacing"/>
        <w:rPr>
          <w:sz w:val="24"/>
        </w:rPr>
      </w:pPr>
      <w:r w:rsidRPr="00A34974">
        <w:rPr>
          <w:sz w:val="24"/>
        </w:rPr>
        <w:t>The LMC Buying Groups Federation has concluded negotiations with flu vaccine companies for the 201</w:t>
      </w:r>
      <w:r w:rsidR="0007227A" w:rsidRPr="00A34974">
        <w:rPr>
          <w:sz w:val="24"/>
        </w:rPr>
        <w:t>7</w:t>
      </w:r>
      <w:r w:rsidR="00570E3B">
        <w:rPr>
          <w:sz w:val="24"/>
        </w:rPr>
        <w:t>-</w:t>
      </w:r>
      <w:bookmarkStart w:id="0" w:name="_GoBack"/>
      <w:bookmarkEnd w:id="0"/>
      <w:r w:rsidRPr="00A34974">
        <w:rPr>
          <w:sz w:val="24"/>
        </w:rPr>
        <w:t>1</w:t>
      </w:r>
      <w:r w:rsidR="0007227A" w:rsidRPr="00A34974">
        <w:rPr>
          <w:sz w:val="24"/>
        </w:rPr>
        <w:t>8</w:t>
      </w:r>
      <w:r w:rsidRPr="00A34974">
        <w:rPr>
          <w:sz w:val="24"/>
        </w:rPr>
        <w:t xml:space="preserve"> season and we can now announce that our joint first preferred suppliers are </w:t>
      </w:r>
      <w:r w:rsidR="00D66552">
        <w:rPr>
          <w:b/>
          <w:sz w:val="24"/>
        </w:rPr>
        <w:t>Pfizer</w:t>
      </w:r>
      <w:r w:rsidR="000E7A2C">
        <w:rPr>
          <w:b/>
          <w:sz w:val="24"/>
        </w:rPr>
        <w:t xml:space="preserve"> </w:t>
      </w:r>
      <w:r w:rsidR="000E7A2C" w:rsidRPr="000E7A2C">
        <w:rPr>
          <w:sz w:val="24"/>
        </w:rPr>
        <w:t xml:space="preserve">and </w:t>
      </w:r>
      <w:r w:rsidR="000E7A2C" w:rsidRPr="00A34974">
        <w:rPr>
          <w:b/>
          <w:sz w:val="24"/>
        </w:rPr>
        <w:t>MASTA</w:t>
      </w:r>
      <w:r w:rsidRPr="00A34974">
        <w:rPr>
          <w:sz w:val="24"/>
        </w:rPr>
        <w:t>. Our second preferred supplier</w:t>
      </w:r>
      <w:r w:rsidR="0007227A" w:rsidRPr="00A34974">
        <w:rPr>
          <w:sz w:val="24"/>
        </w:rPr>
        <w:t xml:space="preserve"> is</w:t>
      </w:r>
      <w:r w:rsidR="00297EB6" w:rsidRPr="00A34974">
        <w:rPr>
          <w:sz w:val="24"/>
        </w:rPr>
        <w:t xml:space="preserve"> </w:t>
      </w:r>
      <w:r w:rsidR="00297EB6" w:rsidRPr="00A34974">
        <w:rPr>
          <w:b/>
          <w:sz w:val="24"/>
        </w:rPr>
        <w:t>Mylan</w:t>
      </w:r>
      <w:r w:rsidR="00297EB6" w:rsidRPr="00A34974">
        <w:rPr>
          <w:sz w:val="24"/>
        </w:rPr>
        <w:t>.</w:t>
      </w:r>
    </w:p>
    <w:p w:rsidR="00BA472B" w:rsidRPr="00A34974" w:rsidRDefault="00BA472B" w:rsidP="00BA472B">
      <w:pPr>
        <w:pStyle w:val="NoSpacing"/>
        <w:rPr>
          <w:sz w:val="24"/>
        </w:rPr>
      </w:pPr>
    </w:p>
    <w:p w:rsidR="00BA472B" w:rsidRPr="00A34974" w:rsidRDefault="00BA472B" w:rsidP="00BA472B">
      <w:pPr>
        <w:pStyle w:val="NoSpacing"/>
        <w:rPr>
          <w:sz w:val="24"/>
        </w:rPr>
      </w:pPr>
      <w:r w:rsidRPr="00A34974">
        <w:rPr>
          <w:sz w:val="24"/>
        </w:rPr>
        <w:t xml:space="preserve">Given the occasional occurrence of problems in the manufacture and delivery of vaccines we are pleased to be able to offer Buying Group </w:t>
      </w:r>
      <w:r w:rsidR="00297EB6" w:rsidRPr="00A34974">
        <w:rPr>
          <w:sz w:val="24"/>
        </w:rPr>
        <w:t>m</w:t>
      </w:r>
      <w:r w:rsidRPr="00A34974">
        <w:rPr>
          <w:sz w:val="24"/>
        </w:rPr>
        <w:t xml:space="preserve">embers </w:t>
      </w:r>
      <w:r w:rsidR="008817A0">
        <w:rPr>
          <w:sz w:val="24"/>
        </w:rPr>
        <w:t>a</w:t>
      </w:r>
      <w:r w:rsidRPr="00A34974">
        <w:rPr>
          <w:sz w:val="24"/>
        </w:rPr>
        <w:t xml:space="preserve"> choice of reliable suppliers as well as the best profit per dose in the market and excellent sale or return terms. </w:t>
      </w:r>
    </w:p>
    <w:p w:rsidR="00BA472B" w:rsidRDefault="00BA472B" w:rsidP="00BA472B">
      <w:pPr>
        <w:pStyle w:val="NoSpacing"/>
        <w:rPr>
          <w:sz w:val="24"/>
        </w:rPr>
      </w:pPr>
    </w:p>
    <w:p w:rsidR="000E7A2C" w:rsidRPr="00A34974" w:rsidRDefault="000E7A2C" w:rsidP="000E7A2C">
      <w:pPr>
        <w:pStyle w:val="NoSpacing"/>
        <w:rPr>
          <w:sz w:val="24"/>
        </w:rPr>
      </w:pPr>
      <w:r w:rsidRPr="00A34974">
        <w:rPr>
          <w:sz w:val="24"/>
        </w:rPr>
        <w:t xml:space="preserve">Pfizer is offering a maximum discount of </w:t>
      </w:r>
      <w:r w:rsidRPr="008817A0">
        <w:rPr>
          <w:b/>
          <w:sz w:val="24"/>
        </w:rPr>
        <w:t>60.7%</w:t>
      </w:r>
      <w:r w:rsidRPr="00A34974">
        <w:rPr>
          <w:sz w:val="24"/>
        </w:rPr>
        <w:t xml:space="preserve"> </w:t>
      </w:r>
      <w:r>
        <w:rPr>
          <w:sz w:val="24"/>
        </w:rPr>
        <w:t xml:space="preserve">on their trivalent vaccine (which offers a </w:t>
      </w:r>
      <w:r w:rsidR="00A03A8F">
        <w:rPr>
          <w:sz w:val="24"/>
        </w:rPr>
        <w:t>Profit Per Dose</w:t>
      </w:r>
      <w:r>
        <w:rPr>
          <w:sz w:val="24"/>
        </w:rPr>
        <w:t xml:space="preserve"> of £7.21) </w:t>
      </w:r>
      <w:r w:rsidRPr="00A34974">
        <w:rPr>
          <w:sz w:val="24"/>
        </w:rPr>
        <w:t xml:space="preserve">on orders confirmed before 23 December 2016 and </w:t>
      </w:r>
      <w:r w:rsidRPr="008817A0">
        <w:rPr>
          <w:b/>
          <w:sz w:val="24"/>
        </w:rPr>
        <w:t>58.7%</w:t>
      </w:r>
      <w:r w:rsidRPr="00A34974">
        <w:rPr>
          <w:sz w:val="24"/>
        </w:rPr>
        <w:t xml:space="preserve"> thereafter</w:t>
      </w:r>
      <w:r w:rsidR="001F63FF">
        <w:rPr>
          <w:sz w:val="24"/>
        </w:rPr>
        <w:t xml:space="preserve"> (PPD of £7.06</w:t>
      </w:r>
      <w:r>
        <w:rPr>
          <w:sz w:val="24"/>
        </w:rPr>
        <w:t>)</w:t>
      </w:r>
      <w:r w:rsidRPr="00A34974">
        <w:rPr>
          <w:sz w:val="24"/>
        </w:rPr>
        <w:t xml:space="preserve">. Pfizer also offer excellent profit per dose on a lower priced alternative vaccine (Enzira) which is a maximum </w:t>
      </w:r>
      <w:r w:rsidRPr="008817A0">
        <w:rPr>
          <w:b/>
          <w:sz w:val="24"/>
        </w:rPr>
        <w:t>47%</w:t>
      </w:r>
      <w:r w:rsidRPr="00A34974">
        <w:rPr>
          <w:sz w:val="24"/>
        </w:rPr>
        <w:t xml:space="preserve"> discount </w:t>
      </w:r>
      <w:r w:rsidR="001F63FF">
        <w:rPr>
          <w:sz w:val="24"/>
        </w:rPr>
        <w:t>(PPD of £5.37</w:t>
      </w:r>
      <w:r>
        <w:rPr>
          <w:sz w:val="24"/>
        </w:rPr>
        <w:t xml:space="preserve">) </w:t>
      </w:r>
      <w:r w:rsidRPr="00A34974">
        <w:rPr>
          <w:sz w:val="24"/>
        </w:rPr>
        <w:t xml:space="preserve">on orders confirmed before Christmas and </w:t>
      </w:r>
      <w:r w:rsidRPr="008817A0">
        <w:rPr>
          <w:b/>
          <w:sz w:val="24"/>
        </w:rPr>
        <w:t>45%</w:t>
      </w:r>
      <w:r>
        <w:rPr>
          <w:b/>
          <w:sz w:val="24"/>
        </w:rPr>
        <w:t xml:space="preserve"> </w:t>
      </w:r>
      <w:r w:rsidR="001F63FF">
        <w:rPr>
          <w:sz w:val="24"/>
        </w:rPr>
        <w:t>(PPD of £5.24</w:t>
      </w:r>
      <w:r w:rsidRPr="00A36222">
        <w:rPr>
          <w:sz w:val="24"/>
        </w:rPr>
        <w:t xml:space="preserve">) thereafter. </w:t>
      </w:r>
    </w:p>
    <w:p w:rsidR="000E7A2C" w:rsidRDefault="000E7A2C" w:rsidP="00BA472B">
      <w:pPr>
        <w:pStyle w:val="NoSpacing"/>
        <w:rPr>
          <w:sz w:val="24"/>
        </w:rPr>
      </w:pPr>
    </w:p>
    <w:p w:rsidR="00D66552" w:rsidRPr="00A34974" w:rsidRDefault="00D66552" w:rsidP="00D66552">
      <w:pPr>
        <w:pStyle w:val="NoSpacing"/>
        <w:rPr>
          <w:sz w:val="24"/>
        </w:rPr>
      </w:pPr>
      <w:r w:rsidRPr="00A34974">
        <w:rPr>
          <w:sz w:val="24"/>
        </w:rPr>
        <w:t xml:space="preserve">MASTA can offer members a choice of vaccines including a quadrivalent. They are offering a </w:t>
      </w:r>
      <w:r w:rsidRPr="008817A0">
        <w:rPr>
          <w:b/>
          <w:sz w:val="24"/>
        </w:rPr>
        <w:t>50%</w:t>
      </w:r>
      <w:r w:rsidRPr="00A34974">
        <w:rPr>
          <w:sz w:val="24"/>
        </w:rPr>
        <w:t xml:space="preserve"> discount on the quadrivalent vaccine </w:t>
      </w:r>
      <w:r>
        <w:rPr>
          <w:sz w:val="24"/>
        </w:rPr>
        <w:t xml:space="preserve">(which offers a </w:t>
      </w:r>
      <w:r w:rsidR="00A03A8F">
        <w:rPr>
          <w:sz w:val="24"/>
        </w:rPr>
        <w:t xml:space="preserve">PPD </w:t>
      </w:r>
      <w:r>
        <w:rPr>
          <w:sz w:val="24"/>
        </w:rPr>
        <w:t>of £7.2</w:t>
      </w:r>
      <w:r w:rsidR="00BB53BA">
        <w:rPr>
          <w:sz w:val="24"/>
        </w:rPr>
        <w:t>1</w:t>
      </w:r>
      <w:r>
        <w:rPr>
          <w:sz w:val="24"/>
        </w:rPr>
        <w:t xml:space="preserve">) </w:t>
      </w:r>
      <w:r w:rsidRPr="00A34974">
        <w:rPr>
          <w:sz w:val="24"/>
        </w:rPr>
        <w:t xml:space="preserve">and </w:t>
      </w:r>
      <w:r w:rsidRPr="008817A0">
        <w:rPr>
          <w:b/>
          <w:sz w:val="24"/>
        </w:rPr>
        <w:t>5</w:t>
      </w:r>
      <w:r w:rsidR="00530AE6">
        <w:rPr>
          <w:b/>
          <w:sz w:val="24"/>
        </w:rPr>
        <w:t>6</w:t>
      </w:r>
      <w:r w:rsidRPr="008817A0">
        <w:rPr>
          <w:b/>
          <w:sz w:val="24"/>
        </w:rPr>
        <w:t>%</w:t>
      </w:r>
      <w:r w:rsidRPr="00A34974">
        <w:rPr>
          <w:sz w:val="24"/>
        </w:rPr>
        <w:t xml:space="preserve"> </w:t>
      </w:r>
      <w:r>
        <w:rPr>
          <w:sz w:val="24"/>
        </w:rPr>
        <w:t>(PPD of £6.</w:t>
      </w:r>
      <w:r w:rsidR="001F63FF">
        <w:rPr>
          <w:sz w:val="24"/>
        </w:rPr>
        <w:t>84</w:t>
      </w:r>
      <w:r>
        <w:rPr>
          <w:sz w:val="24"/>
        </w:rPr>
        <w:t xml:space="preserve">) </w:t>
      </w:r>
      <w:r w:rsidRPr="00A34974">
        <w:rPr>
          <w:sz w:val="24"/>
        </w:rPr>
        <w:t xml:space="preserve">on </w:t>
      </w:r>
      <w:r>
        <w:rPr>
          <w:sz w:val="24"/>
        </w:rPr>
        <w:t>the t</w:t>
      </w:r>
      <w:r w:rsidRPr="00A34974">
        <w:rPr>
          <w:sz w:val="24"/>
        </w:rPr>
        <w:t xml:space="preserve">rivalent throughout the season. </w:t>
      </w:r>
    </w:p>
    <w:p w:rsidR="00BA472B" w:rsidRPr="00A34974" w:rsidRDefault="00BA472B" w:rsidP="00BA472B">
      <w:pPr>
        <w:pStyle w:val="NoSpacing"/>
        <w:rPr>
          <w:sz w:val="24"/>
        </w:rPr>
      </w:pPr>
    </w:p>
    <w:p w:rsidR="00BA472B" w:rsidRPr="00A34974" w:rsidRDefault="00A5106F" w:rsidP="00BA472B">
      <w:pPr>
        <w:pStyle w:val="NoSpacing"/>
        <w:rPr>
          <w:sz w:val="24"/>
        </w:rPr>
      </w:pPr>
      <w:r w:rsidRPr="00A34974">
        <w:rPr>
          <w:sz w:val="24"/>
        </w:rPr>
        <w:t xml:space="preserve">Our second preferred supplier, </w:t>
      </w:r>
      <w:r w:rsidR="00BA472B" w:rsidRPr="00A34974">
        <w:rPr>
          <w:sz w:val="24"/>
        </w:rPr>
        <w:t xml:space="preserve">Mylan, </w:t>
      </w:r>
      <w:r w:rsidRPr="00A34974">
        <w:rPr>
          <w:sz w:val="24"/>
        </w:rPr>
        <w:t xml:space="preserve">are offering </w:t>
      </w:r>
      <w:r w:rsidRPr="008817A0">
        <w:rPr>
          <w:b/>
          <w:sz w:val="24"/>
        </w:rPr>
        <w:t>56%</w:t>
      </w:r>
      <w:r w:rsidR="000E0BF2">
        <w:rPr>
          <w:sz w:val="24"/>
        </w:rPr>
        <w:t xml:space="preserve"> (which offers a PPD of </w:t>
      </w:r>
      <w:r w:rsidR="001F63FF">
        <w:rPr>
          <w:sz w:val="24"/>
        </w:rPr>
        <w:t>£6.84</w:t>
      </w:r>
      <w:r w:rsidR="000E0BF2">
        <w:rPr>
          <w:sz w:val="24"/>
        </w:rPr>
        <w:t xml:space="preserve">) </w:t>
      </w:r>
      <w:r w:rsidR="00BA472B" w:rsidRPr="00A34974">
        <w:rPr>
          <w:sz w:val="24"/>
        </w:rPr>
        <w:t xml:space="preserve">on orders confirmed </w:t>
      </w:r>
      <w:r w:rsidRPr="00A34974">
        <w:rPr>
          <w:sz w:val="24"/>
        </w:rPr>
        <w:t>before Christmas and</w:t>
      </w:r>
      <w:r w:rsidR="00BA472B" w:rsidRPr="00A34974">
        <w:rPr>
          <w:sz w:val="24"/>
        </w:rPr>
        <w:t xml:space="preserve"> </w:t>
      </w:r>
      <w:r w:rsidR="00BA472B" w:rsidRPr="008817A0">
        <w:rPr>
          <w:b/>
          <w:sz w:val="24"/>
        </w:rPr>
        <w:t>5</w:t>
      </w:r>
      <w:r w:rsidRPr="008817A0">
        <w:rPr>
          <w:b/>
          <w:sz w:val="24"/>
        </w:rPr>
        <w:t>5</w:t>
      </w:r>
      <w:r w:rsidR="00BA472B" w:rsidRPr="008817A0">
        <w:rPr>
          <w:b/>
          <w:sz w:val="24"/>
        </w:rPr>
        <w:t>%</w:t>
      </w:r>
      <w:r w:rsidR="00BA472B" w:rsidRPr="00A34974">
        <w:rPr>
          <w:sz w:val="24"/>
        </w:rPr>
        <w:t xml:space="preserve"> </w:t>
      </w:r>
      <w:r w:rsidR="000E0BF2">
        <w:rPr>
          <w:sz w:val="24"/>
        </w:rPr>
        <w:t xml:space="preserve">(PPD of </w:t>
      </w:r>
      <w:r w:rsidR="001F63FF">
        <w:rPr>
          <w:sz w:val="24"/>
        </w:rPr>
        <w:t>£6.76</w:t>
      </w:r>
      <w:r w:rsidR="000E0BF2">
        <w:rPr>
          <w:sz w:val="24"/>
        </w:rPr>
        <w:t xml:space="preserve">) </w:t>
      </w:r>
      <w:r w:rsidR="00BA472B" w:rsidRPr="00A34974">
        <w:rPr>
          <w:sz w:val="24"/>
        </w:rPr>
        <w:t>thereafter. Mylan</w:t>
      </w:r>
      <w:r w:rsidR="00297EB6" w:rsidRPr="00A34974">
        <w:rPr>
          <w:sz w:val="24"/>
        </w:rPr>
        <w:t xml:space="preserve"> also</w:t>
      </w:r>
      <w:r w:rsidR="00BA472B" w:rsidRPr="00A34974">
        <w:rPr>
          <w:sz w:val="24"/>
        </w:rPr>
        <w:t xml:space="preserve"> offers a lower priced alternative, Influvac. </w:t>
      </w:r>
    </w:p>
    <w:p w:rsidR="00A5106F" w:rsidRPr="00A34974" w:rsidRDefault="00A5106F" w:rsidP="00BA472B">
      <w:pPr>
        <w:pStyle w:val="NoSpacing"/>
        <w:rPr>
          <w:sz w:val="24"/>
        </w:rPr>
      </w:pPr>
    </w:p>
    <w:p w:rsidR="00A34974" w:rsidRDefault="00BA472B" w:rsidP="00BA472B">
      <w:pPr>
        <w:pStyle w:val="NoSpacing"/>
        <w:rPr>
          <w:sz w:val="24"/>
        </w:rPr>
      </w:pPr>
      <w:r w:rsidRPr="00A34974">
        <w:rPr>
          <w:sz w:val="24"/>
        </w:rPr>
        <w:t xml:space="preserve">Details of each of our approved suppliers’ offers, including tables describing how profit per dose is calculated can be found in the pages below. More information is available on our website </w:t>
      </w:r>
      <w:hyperlink r:id="rId6" w:history="1">
        <w:r w:rsidR="00E01160" w:rsidRPr="00A34974">
          <w:rPr>
            <w:rStyle w:val="Hyperlink"/>
            <w:sz w:val="24"/>
          </w:rPr>
          <w:t>www.lmcbuyinggroups.co.uk/members</w:t>
        </w:r>
      </w:hyperlink>
      <w:r w:rsidRPr="00A34974">
        <w:rPr>
          <w:sz w:val="24"/>
        </w:rPr>
        <w:t>.</w:t>
      </w:r>
      <w:r w:rsidR="00E01160" w:rsidRPr="00A34974">
        <w:rPr>
          <w:sz w:val="24"/>
        </w:rPr>
        <w:t xml:space="preserve"> </w:t>
      </w:r>
      <w:r w:rsidRPr="00A34974">
        <w:rPr>
          <w:sz w:val="24"/>
        </w:rPr>
        <w:t xml:space="preserve">You will have to log in </w:t>
      </w:r>
      <w:r w:rsidR="004169D2">
        <w:rPr>
          <w:sz w:val="24"/>
        </w:rPr>
        <w:t xml:space="preserve">or register </w:t>
      </w:r>
      <w:r w:rsidRPr="00A34974">
        <w:rPr>
          <w:sz w:val="24"/>
        </w:rPr>
        <w:t>to access this information.</w:t>
      </w:r>
    </w:p>
    <w:p w:rsidR="00A34974" w:rsidRDefault="00A34974" w:rsidP="00BA472B">
      <w:pPr>
        <w:pStyle w:val="NoSpacing"/>
        <w:rPr>
          <w:sz w:val="24"/>
        </w:rPr>
      </w:pPr>
    </w:p>
    <w:p w:rsidR="00A34974" w:rsidRDefault="00A34974" w:rsidP="00BA472B">
      <w:pPr>
        <w:pStyle w:val="NoSpacing"/>
        <w:rPr>
          <w:sz w:val="24"/>
        </w:rPr>
      </w:pPr>
    </w:p>
    <w:p w:rsidR="00A34974" w:rsidRDefault="00A34974" w:rsidP="00BA472B">
      <w:pPr>
        <w:pStyle w:val="NoSpacing"/>
        <w:rPr>
          <w:sz w:val="24"/>
        </w:rPr>
      </w:pPr>
    </w:p>
    <w:p w:rsidR="00A34974" w:rsidRDefault="00A34974" w:rsidP="00BA472B">
      <w:pPr>
        <w:pStyle w:val="NoSpacing"/>
        <w:rPr>
          <w:sz w:val="24"/>
        </w:rPr>
      </w:pPr>
    </w:p>
    <w:p w:rsidR="00A34974" w:rsidRDefault="00A34974" w:rsidP="00BA472B">
      <w:pPr>
        <w:pStyle w:val="NoSpacing"/>
        <w:rPr>
          <w:sz w:val="24"/>
        </w:rPr>
      </w:pPr>
    </w:p>
    <w:p w:rsidR="00A34974" w:rsidRDefault="00A34974" w:rsidP="00BA472B">
      <w:pPr>
        <w:pStyle w:val="NoSpacing"/>
        <w:rPr>
          <w:sz w:val="24"/>
        </w:rPr>
      </w:pPr>
    </w:p>
    <w:p w:rsidR="00A34974" w:rsidRDefault="00A34974" w:rsidP="00BA472B">
      <w:pPr>
        <w:pStyle w:val="NoSpacing"/>
        <w:rPr>
          <w:sz w:val="24"/>
        </w:rPr>
      </w:pPr>
    </w:p>
    <w:p w:rsidR="00A34974" w:rsidRDefault="00A34974" w:rsidP="00BA472B">
      <w:pPr>
        <w:pStyle w:val="NoSpacing"/>
        <w:rPr>
          <w:sz w:val="24"/>
        </w:rPr>
      </w:pPr>
    </w:p>
    <w:p w:rsidR="00A34974" w:rsidRDefault="00A34974" w:rsidP="00BA472B">
      <w:pPr>
        <w:pStyle w:val="NoSpacing"/>
        <w:rPr>
          <w:sz w:val="24"/>
        </w:rPr>
      </w:pPr>
    </w:p>
    <w:p w:rsidR="00A34974" w:rsidRDefault="00A34974" w:rsidP="00BA472B">
      <w:pPr>
        <w:pStyle w:val="NoSpacing"/>
        <w:rPr>
          <w:sz w:val="24"/>
        </w:rPr>
      </w:pPr>
    </w:p>
    <w:p w:rsidR="000E7A2C" w:rsidRPr="00AE1CF3" w:rsidRDefault="000E7A2C" w:rsidP="000E7A2C">
      <w:pPr>
        <w:pStyle w:val="NoSpacing"/>
        <w:jc w:val="center"/>
        <w:rPr>
          <w:b/>
          <w:color w:val="7030A0"/>
          <w:sz w:val="40"/>
          <w:szCs w:val="40"/>
        </w:rPr>
      </w:pPr>
      <w:r w:rsidRPr="00AE1CF3">
        <w:rPr>
          <w:b/>
          <w:color w:val="7030A0"/>
          <w:sz w:val="40"/>
          <w:szCs w:val="40"/>
        </w:rPr>
        <w:lastRenderedPageBreak/>
        <w:t>Pfizer</w:t>
      </w:r>
    </w:p>
    <w:p w:rsidR="000E7A2C" w:rsidRDefault="000E7A2C" w:rsidP="000E7A2C">
      <w:pPr>
        <w:pStyle w:val="NoSpacing"/>
        <w:rPr>
          <w:b/>
        </w:rPr>
      </w:pPr>
    </w:p>
    <w:p w:rsidR="000E7A2C" w:rsidRDefault="000E7A2C" w:rsidP="000E7A2C">
      <w:pPr>
        <w:spacing w:after="0" w:line="240" w:lineRule="auto"/>
        <w:jc w:val="center"/>
        <w:rPr>
          <w:rFonts w:eastAsia="Times New Roman" w:cs="Times New Roman"/>
          <w:b/>
          <w:sz w:val="32"/>
          <w:szCs w:val="32"/>
        </w:rPr>
      </w:pPr>
      <w:r w:rsidRPr="004E7C3A">
        <w:rPr>
          <w:rFonts w:eastAsia="Times New Roman" w:cs="Times New Roman"/>
          <w:b/>
          <w:sz w:val="32"/>
          <w:szCs w:val="32"/>
        </w:rPr>
        <w:t>Inactivated Influenza Vaccine</w:t>
      </w:r>
    </w:p>
    <w:p w:rsidR="000E7A2C" w:rsidRPr="00032990" w:rsidRDefault="000E7A2C" w:rsidP="000E7A2C">
      <w:pPr>
        <w:spacing w:after="0" w:line="240" w:lineRule="auto"/>
        <w:jc w:val="center"/>
        <w:rPr>
          <w:rFonts w:ascii="Arial" w:eastAsia="Times New Roman" w:hAnsi="Arial" w:cs="Times New Roman"/>
          <w:b/>
          <w:sz w:val="28"/>
          <w:szCs w:val="28"/>
        </w:rPr>
      </w:pPr>
    </w:p>
    <w:tbl>
      <w:tblPr>
        <w:tblStyle w:val="TableGrid"/>
        <w:tblW w:w="0" w:type="auto"/>
        <w:tblLook w:val="04A0" w:firstRow="1" w:lastRow="0" w:firstColumn="1" w:lastColumn="0" w:noHBand="0" w:noVBand="1"/>
      </w:tblPr>
      <w:tblGrid>
        <w:gridCol w:w="2268"/>
        <w:gridCol w:w="1643"/>
        <w:gridCol w:w="1757"/>
        <w:gridCol w:w="1617"/>
        <w:gridCol w:w="1731"/>
      </w:tblGrid>
      <w:tr w:rsidR="000E7A2C" w:rsidRPr="00032990" w:rsidTr="00643314">
        <w:tc>
          <w:tcPr>
            <w:tcW w:w="0" w:type="auto"/>
          </w:tcPr>
          <w:p w:rsidR="000E7A2C" w:rsidRPr="00032990" w:rsidRDefault="000E7A2C" w:rsidP="00643314">
            <w:pPr>
              <w:jc w:val="center"/>
              <w:rPr>
                <w:rFonts w:eastAsia="Times New Roman" w:cs="Times New Roman"/>
                <w:b/>
                <w:sz w:val="24"/>
                <w:szCs w:val="24"/>
              </w:rPr>
            </w:pPr>
          </w:p>
        </w:tc>
        <w:tc>
          <w:tcPr>
            <w:tcW w:w="0" w:type="auto"/>
          </w:tcPr>
          <w:p w:rsidR="000E7A2C" w:rsidRPr="00032990" w:rsidRDefault="000E7A2C" w:rsidP="00643314">
            <w:pPr>
              <w:jc w:val="center"/>
              <w:rPr>
                <w:rFonts w:eastAsia="Times New Roman" w:cs="Times New Roman"/>
                <w:b/>
                <w:sz w:val="24"/>
                <w:szCs w:val="24"/>
              </w:rPr>
            </w:pPr>
            <w:r w:rsidRPr="00032990">
              <w:rPr>
                <w:rFonts w:eastAsia="Times New Roman" w:cs="Times New Roman"/>
                <w:b/>
                <w:sz w:val="24"/>
                <w:szCs w:val="24"/>
              </w:rPr>
              <w:t>Ordered before 2</w:t>
            </w:r>
            <w:r>
              <w:rPr>
                <w:rFonts w:eastAsia="Times New Roman" w:cs="Times New Roman"/>
                <w:b/>
                <w:sz w:val="24"/>
                <w:szCs w:val="24"/>
              </w:rPr>
              <w:t>3</w:t>
            </w:r>
            <w:r w:rsidRPr="00032990">
              <w:rPr>
                <w:rFonts w:eastAsia="Times New Roman" w:cs="Times New Roman"/>
                <w:b/>
                <w:sz w:val="24"/>
                <w:szCs w:val="24"/>
              </w:rPr>
              <w:t xml:space="preserve"> Dec + base discount (5</w:t>
            </w:r>
            <w:r>
              <w:rPr>
                <w:rFonts w:eastAsia="Times New Roman" w:cs="Times New Roman"/>
                <w:b/>
                <w:sz w:val="24"/>
                <w:szCs w:val="24"/>
              </w:rPr>
              <w:t>6.7</w:t>
            </w:r>
            <w:r w:rsidRPr="00032990">
              <w:rPr>
                <w:rFonts w:eastAsia="Times New Roman" w:cs="Times New Roman"/>
                <w:b/>
                <w:sz w:val="24"/>
                <w:szCs w:val="24"/>
              </w:rPr>
              <w:t>%)</w:t>
            </w:r>
          </w:p>
        </w:tc>
        <w:tc>
          <w:tcPr>
            <w:tcW w:w="0" w:type="auto"/>
          </w:tcPr>
          <w:p w:rsidR="000E7A2C" w:rsidRPr="00032990" w:rsidRDefault="000E7A2C" w:rsidP="00643314">
            <w:pPr>
              <w:jc w:val="center"/>
              <w:rPr>
                <w:rFonts w:eastAsia="Times New Roman" w:cs="Times New Roman"/>
                <w:b/>
                <w:sz w:val="24"/>
                <w:szCs w:val="24"/>
              </w:rPr>
            </w:pPr>
            <w:r w:rsidRPr="00032990">
              <w:rPr>
                <w:rFonts w:eastAsia="Times New Roman" w:cs="Times New Roman"/>
                <w:b/>
                <w:sz w:val="24"/>
                <w:szCs w:val="24"/>
              </w:rPr>
              <w:t>Ordered before 2</w:t>
            </w:r>
            <w:r>
              <w:rPr>
                <w:rFonts w:eastAsia="Times New Roman" w:cs="Times New Roman"/>
                <w:b/>
                <w:sz w:val="24"/>
                <w:szCs w:val="24"/>
              </w:rPr>
              <w:t>3</w:t>
            </w:r>
            <w:r w:rsidRPr="00032990">
              <w:rPr>
                <w:rFonts w:eastAsia="Times New Roman" w:cs="Times New Roman"/>
                <w:b/>
                <w:sz w:val="24"/>
                <w:szCs w:val="24"/>
              </w:rPr>
              <w:t xml:space="preserve"> Dec + max discount</w:t>
            </w:r>
            <w:r w:rsidRPr="002E567A">
              <w:rPr>
                <w:rFonts w:eastAsia="Times New Roman" w:cs="Times New Roman"/>
                <w:sz w:val="24"/>
                <w:szCs w:val="24"/>
              </w:rPr>
              <w:t>+</w:t>
            </w:r>
            <w:r w:rsidRPr="00032990">
              <w:rPr>
                <w:rFonts w:eastAsia="Times New Roman" w:cs="Times New Roman"/>
                <w:b/>
                <w:sz w:val="24"/>
                <w:szCs w:val="24"/>
              </w:rPr>
              <w:t xml:space="preserve"> (</w:t>
            </w:r>
            <w:r>
              <w:rPr>
                <w:rFonts w:eastAsia="Times New Roman" w:cs="Times New Roman"/>
                <w:b/>
                <w:sz w:val="24"/>
                <w:szCs w:val="24"/>
              </w:rPr>
              <w:t>60.7</w:t>
            </w:r>
            <w:r w:rsidRPr="00032990">
              <w:rPr>
                <w:rFonts w:eastAsia="Times New Roman" w:cs="Times New Roman"/>
                <w:b/>
                <w:sz w:val="24"/>
                <w:szCs w:val="24"/>
              </w:rPr>
              <w:t>%)</w:t>
            </w:r>
          </w:p>
        </w:tc>
        <w:tc>
          <w:tcPr>
            <w:tcW w:w="0" w:type="auto"/>
          </w:tcPr>
          <w:p w:rsidR="000E7A2C" w:rsidRPr="00032990" w:rsidRDefault="000E7A2C" w:rsidP="00643314">
            <w:pPr>
              <w:jc w:val="center"/>
              <w:rPr>
                <w:rFonts w:eastAsia="Times New Roman" w:cs="Times New Roman"/>
                <w:b/>
                <w:sz w:val="24"/>
                <w:szCs w:val="24"/>
              </w:rPr>
            </w:pPr>
            <w:r w:rsidRPr="00032990">
              <w:rPr>
                <w:rFonts w:eastAsia="Times New Roman" w:cs="Times New Roman"/>
                <w:b/>
                <w:sz w:val="24"/>
                <w:szCs w:val="24"/>
              </w:rPr>
              <w:t>Ordered after 2</w:t>
            </w:r>
            <w:r>
              <w:rPr>
                <w:rFonts w:eastAsia="Times New Roman" w:cs="Times New Roman"/>
                <w:b/>
                <w:sz w:val="24"/>
                <w:szCs w:val="24"/>
              </w:rPr>
              <w:t>3</w:t>
            </w:r>
            <w:r w:rsidRPr="00032990">
              <w:rPr>
                <w:rFonts w:eastAsia="Times New Roman" w:cs="Times New Roman"/>
                <w:b/>
                <w:sz w:val="24"/>
                <w:szCs w:val="24"/>
              </w:rPr>
              <w:t xml:space="preserve"> Dec + base discount (5</w:t>
            </w:r>
            <w:r>
              <w:rPr>
                <w:rFonts w:eastAsia="Times New Roman" w:cs="Times New Roman"/>
                <w:b/>
                <w:sz w:val="24"/>
                <w:szCs w:val="24"/>
              </w:rPr>
              <w:t>5.7</w:t>
            </w:r>
            <w:r w:rsidRPr="00032990">
              <w:rPr>
                <w:rFonts w:eastAsia="Times New Roman" w:cs="Times New Roman"/>
                <w:b/>
                <w:sz w:val="24"/>
                <w:szCs w:val="24"/>
              </w:rPr>
              <w:t>%)</w:t>
            </w:r>
          </w:p>
        </w:tc>
        <w:tc>
          <w:tcPr>
            <w:tcW w:w="0" w:type="auto"/>
          </w:tcPr>
          <w:p w:rsidR="000E7A2C" w:rsidRPr="00032990" w:rsidRDefault="000E7A2C" w:rsidP="00643314">
            <w:pPr>
              <w:jc w:val="center"/>
              <w:rPr>
                <w:rFonts w:eastAsia="Times New Roman" w:cs="Times New Roman"/>
                <w:b/>
                <w:sz w:val="24"/>
                <w:szCs w:val="24"/>
              </w:rPr>
            </w:pPr>
            <w:r w:rsidRPr="00032990">
              <w:rPr>
                <w:rFonts w:eastAsia="Times New Roman" w:cs="Times New Roman"/>
                <w:b/>
                <w:sz w:val="24"/>
                <w:szCs w:val="24"/>
              </w:rPr>
              <w:t>Ordered after 2</w:t>
            </w:r>
            <w:r>
              <w:rPr>
                <w:rFonts w:eastAsia="Times New Roman" w:cs="Times New Roman"/>
                <w:b/>
                <w:sz w:val="24"/>
                <w:szCs w:val="24"/>
              </w:rPr>
              <w:t>3</w:t>
            </w:r>
            <w:r w:rsidRPr="00032990">
              <w:rPr>
                <w:rFonts w:eastAsia="Times New Roman" w:cs="Times New Roman"/>
                <w:b/>
                <w:sz w:val="24"/>
                <w:szCs w:val="24"/>
              </w:rPr>
              <w:t xml:space="preserve"> Dec + max discount</w:t>
            </w:r>
            <w:r w:rsidRPr="002E567A">
              <w:rPr>
                <w:rFonts w:eastAsia="Times New Roman" w:cs="Times New Roman"/>
                <w:sz w:val="24"/>
                <w:szCs w:val="24"/>
              </w:rPr>
              <w:t>+</w:t>
            </w:r>
            <w:r w:rsidRPr="00032990">
              <w:rPr>
                <w:rFonts w:eastAsia="Times New Roman" w:cs="Times New Roman"/>
                <w:b/>
                <w:sz w:val="24"/>
                <w:szCs w:val="24"/>
              </w:rPr>
              <w:t xml:space="preserve"> (5</w:t>
            </w:r>
            <w:r>
              <w:rPr>
                <w:rFonts w:eastAsia="Times New Roman" w:cs="Times New Roman"/>
                <w:b/>
                <w:sz w:val="24"/>
                <w:szCs w:val="24"/>
              </w:rPr>
              <w:t>8.</w:t>
            </w:r>
            <w:r w:rsidRPr="00032990">
              <w:rPr>
                <w:rFonts w:eastAsia="Times New Roman" w:cs="Times New Roman"/>
                <w:b/>
                <w:sz w:val="24"/>
                <w:szCs w:val="24"/>
              </w:rPr>
              <w:t>7%)</w:t>
            </w:r>
          </w:p>
        </w:tc>
      </w:tr>
      <w:tr w:rsidR="000E7A2C" w:rsidRPr="00032990" w:rsidTr="00643314">
        <w:tc>
          <w:tcPr>
            <w:tcW w:w="0" w:type="auto"/>
          </w:tcPr>
          <w:p w:rsidR="000E7A2C" w:rsidRPr="00032990" w:rsidRDefault="000E7A2C" w:rsidP="00643314">
            <w:pPr>
              <w:jc w:val="center"/>
              <w:rPr>
                <w:rFonts w:eastAsia="Times New Roman" w:cs="Times New Roman"/>
                <w:sz w:val="24"/>
                <w:szCs w:val="24"/>
              </w:rPr>
            </w:pPr>
            <w:r w:rsidRPr="00032990">
              <w:rPr>
                <w:rFonts w:eastAsia="Times New Roman" w:cs="Times New Roman"/>
                <w:sz w:val="24"/>
                <w:szCs w:val="24"/>
              </w:rPr>
              <w:t>NHS Price</w:t>
            </w:r>
          </w:p>
        </w:tc>
        <w:tc>
          <w:tcPr>
            <w:tcW w:w="0" w:type="auto"/>
          </w:tcPr>
          <w:p w:rsidR="000E7A2C" w:rsidRPr="00032990" w:rsidRDefault="000E7A2C" w:rsidP="00643314">
            <w:pPr>
              <w:jc w:val="center"/>
              <w:rPr>
                <w:rFonts w:eastAsia="Times New Roman" w:cs="Times New Roman"/>
                <w:sz w:val="24"/>
                <w:szCs w:val="24"/>
              </w:rPr>
            </w:pPr>
            <w:r w:rsidRPr="00032990">
              <w:rPr>
                <w:rFonts w:eastAsia="Times New Roman" w:cs="Times New Roman"/>
                <w:sz w:val="24"/>
                <w:szCs w:val="24"/>
              </w:rPr>
              <w:t>£6.59</w:t>
            </w:r>
          </w:p>
        </w:tc>
        <w:tc>
          <w:tcPr>
            <w:tcW w:w="0" w:type="auto"/>
          </w:tcPr>
          <w:p w:rsidR="000E7A2C" w:rsidRPr="00032990" w:rsidRDefault="000E7A2C" w:rsidP="00643314">
            <w:pPr>
              <w:jc w:val="center"/>
              <w:rPr>
                <w:rFonts w:eastAsia="Times New Roman" w:cs="Times New Roman"/>
                <w:sz w:val="24"/>
                <w:szCs w:val="24"/>
              </w:rPr>
            </w:pPr>
            <w:r w:rsidRPr="00032990">
              <w:rPr>
                <w:rFonts w:eastAsia="Times New Roman" w:cs="Times New Roman"/>
                <w:sz w:val="24"/>
                <w:szCs w:val="24"/>
              </w:rPr>
              <w:t>£6.59</w:t>
            </w:r>
          </w:p>
        </w:tc>
        <w:tc>
          <w:tcPr>
            <w:tcW w:w="0" w:type="auto"/>
          </w:tcPr>
          <w:p w:rsidR="000E7A2C" w:rsidRPr="00032990" w:rsidRDefault="000E7A2C" w:rsidP="00643314">
            <w:pPr>
              <w:jc w:val="center"/>
              <w:rPr>
                <w:rFonts w:eastAsia="Times New Roman" w:cs="Times New Roman"/>
                <w:sz w:val="24"/>
                <w:szCs w:val="24"/>
              </w:rPr>
            </w:pPr>
            <w:r w:rsidRPr="00032990">
              <w:rPr>
                <w:rFonts w:eastAsia="Times New Roman" w:cs="Times New Roman"/>
                <w:sz w:val="24"/>
                <w:szCs w:val="24"/>
              </w:rPr>
              <w:t>£6.59</w:t>
            </w:r>
          </w:p>
        </w:tc>
        <w:tc>
          <w:tcPr>
            <w:tcW w:w="0" w:type="auto"/>
          </w:tcPr>
          <w:p w:rsidR="000E7A2C" w:rsidRPr="00032990" w:rsidRDefault="000E7A2C" w:rsidP="00643314">
            <w:pPr>
              <w:jc w:val="center"/>
              <w:rPr>
                <w:rFonts w:eastAsia="Times New Roman" w:cs="Times New Roman"/>
                <w:sz w:val="24"/>
                <w:szCs w:val="24"/>
              </w:rPr>
            </w:pPr>
            <w:r w:rsidRPr="00032990">
              <w:rPr>
                <w:rFonts w:eastAsia="Times New Roman" w:cs="Times New Roman"/>
                <w:sz w:val="24"/>
                <w:szCs w:val="24"/>
              </w:rPr>
              <w:t>£6.59</w:t>
            </w:r>
          </w:p>
        </w:tc>
      </w:tr>
      <w:tr w:rsidR="000E7A2C" w:rsidRPr="00032990" w:rsidTr="00643314">
        <w:tc>
          <w:tcPr>
            <w:tcW w:w="0" w:type="auto"/>
          </w:tcPr>
          <w:p w:rsidR="000E7A2C" w:rsidRPr="00032990" w:rsidRDefault="000E7A2C" w:rsidP="00643314">
            <w:pPr>
              <w:jc w:val="center"/>
              <w:rPr>
                <w:rFonts w:eastAsia="Times New Roman" w:cs="Times New Roman"/>
                <w:sz w:val="24"/>
                <w:szCs w:val="24"/>
              </w:rPr>
            </w:pPr>
            <w:r w:rsidRPr="00032990">
              <w:rPr>
                <w:rFonts w:eastAsia="Times New Roman" w:cs="Times New Roman"/>
                <w:sz w:val="24"/>
                <w:szCs w:val="24"/>
              </w:rPr>
              <w:t>Dispensing Fee*</w:t>
            </w:r>
          </w:p>
        </w:tc>
        <w:tc>
          <w:tcPr>
            <w:tcW w:w="0" w:type="auto"/>
          </w:tcPr>
          <w:p w:rsidR="000E7A2C" w:rsidRPr="00032990" w:rsidRDefault="000E7A2C" w:rsidP="00643314">
            <w:pPr>
              <w:jc w:val="center"/>
              <w:rPr>
                <w:rFonts w:eastAsia="Times New Roman" w:cs="Times New Roman"/>
                <w:b/>
                <w:sz w:val="24"/>
                <w:szCs w:val="24"/>
              </w:rPr>
            </w:pPr>
            <w:r w:rsidRPr="00032990">
              <w:rPr>
                <w:rFonts w:eastAsia="Times New Roman" w:cs="Times New Roman"/>
                <w:sz w:val="24"/>
                <w:szCs w:val="24"/>
              </w:rPr>
              <w:t>£2.</w:t>
            </w:r>
            <w:r>
              <w:rPr>
                <w:rFonts w:eastAsia="Times New Roman" w:cs="Times New Roman"/>
                <w:sz w:val="24"/>
                <w:szCs w:val="24"/>
              </w:rPr>
              <w:t>405</w:t>
            </w:r>
          </w:p>
        </w:tc>
        <w:tc>
          <w:tcPr>
            <w:tcW w:w="0" w:type="auto"/>
          </w:tcPr>
          <w:p w:rsidR="000E7A2C" w:rsidRDefault="000E7A2C" w:rsidP="00643314">
            <w:pPr>
              <w:jc w:val="center"/>
            </w:pPr>
            <w:r w:rsidRPr="00032990">
              <w:rPr>
                <w:rFonts w:eastAsia="Times New Roman" w:cs="Times New Roman"/>
                <w:sz w:val="24"/>
                <w:szCs w:val="24"/>
              </w:rPr>
              <w:t>£2.</w:t>
            </w:r>
            <w:r w:rsidRPr="00477BA4">
              <w:rPr>
                <w:rFonts w:eastAsia="Times New Roman" w:cs="Times New Roman"/>
                <w:sz w:val="24"/>
                <w:szCs w:val="24"/>
              </w:rPr>
              <w:t>40</w:t>
            </w:r>
            <w:r>
              <w:rPr>
                <w:rFonts w:eastAsia="Times New Roman" w:cs="Times New Roman"/>
                <w:sz w:val="24"/>
                <w:szCs w:val="24"/>
              </w:rPr>
              <w:t>5</w:t>
            </w:r>
          </w:p>
        </w:tc>
        <w:tc>
          <w:tcPr>
            <w:tcW w:w="0" w:type="auto"/>
          </w:tcPr>
          <w:p w:rsidR="000E7A2C" w:rsidRDefault="000E7A2C" w:rsidP="00643314">
            <w:pPr>
              <w:jc w:val="center"/>
            </w:pPr>
            <w:r w:rsidRPr="00032990">
              <w:rPr>
                <w:rFonts w:eastAsia="Times New Roman" w:cs="Times New Roman"/>
                <w:sz w:val="24"/>
                <w:szCs w:val="24"/>
              </w:rPr>
              <w:t>£2.</w:t>
            </w:r>
            <w:r w:rsidRPr="00477BA4">
              <w:rPr>
                <w:rFonts w:eastAsia="Times New Roman" w:cs="Times New Roman"/>
                <w:sz w:val="24"/>
                <w:szCs w:val="24"/>
              </w:rPr>
              <w:t>40</w:t>
            </w:r>
            <w:r>
              <w:rPr>
                <w:rFonts w:eastAsia="Times New Roman" w:cs="Times New Roman"/>
                <w:sz w:val="24"/>
                <w:szCs w:val="24"/>
              </w:rPr>
              <w:t>5</w:t>
            </w:r>
          </w:p>
        </w:tc>
        <w:tc>
          <w:tcPr>
            <w:tcW w:w="0" w:type="auto"/>
          </w:tcPr>
          <w:p w:rsidR="000E7A2C" w:rsidRDefault="000E7A2C" w:rsidP="00643314">
            <w:pPr>
              <w:jc w:val="center"/>
            </w:pPr>
            <w:r w:rsidRPr="00032990">
              <w:rPr>
                <w:rFonts w:eastAsia="Times New Roman" w:cs="Times New Roman"/>
                <w:sz w:val="24"/>
                <w:szCs w:val="24"/>
              </w:rPr>
              <w:t>£2.</w:t>
            </w:r>
            <w:r w:rsidRPr="00477BA4">
              <w:rPr>
                <w:rFonts w:eastAsia="Times New Roman" w:cs="Times New Roman"/>
                <w:sz w:val="24"/>
                <w:szCs w:val="24"/>
              </w:rPr>
              <w:t>40</w:t>
            </w:r>
            <w:r>
              <w:rPr>
                <w:rFonts w:eastAsia="Times New Roman" w:cs="Times New Roman"/>
                <w:sz w:val="24"/>
                <w:szCs w:val="24"/>
              </w:rPr>
              <w:t>5</w:t>
            </w:r>
          </w:p>
        </w:tc>
      </w:tr>
      <w:tr w:rsidR="000E7A2C" w:rsidRPr="00032990" w:rsidTr="00643314">
        <w:tc>
          <w:tcPr>
            <w:tcW w:w="0" w:type="auto"/>
          </w:tcPr>
          <w:p w:rsidR="000E7A2C" w:rsidRPr="00032990" w:rsidRDefault="000E7A2C" w:rsidP="00643314">
            <w:pPr>
              <w:jc w:val="center"/>
              <w:rPr>
                <w:rFonts w:eastAsia="Times New Roman" w:cs="Times New Roman"/>
                <w:sz w:val="24"/>
                <w:szCs w:val="24"/>
              </w:rPr>
            </w:pPr>
            <w:r w:rsidRPr="00032990">
              <w:rPr>
                <w:rFonts w:eastAsia="Times New Roman" w:cs="Times New Roman"/>
                <w:sz w:val="24"/>
                <w:szCs w:val="24"/>
              </w:rPr>
              <w:t>VAT (20%)</w:t>
            </w:r>
          </w:p>
        </w:tc>
        <w:tc>
          <w:tcPr>
            <w:tcW w:w="0" w:type="auto"/>
          </w:tcPr>
          <w:p w:rsidR="000E7A2C" w:rsidRPr="00032990" w:rsidRDefault="000E7A2C" w:rsidP="00643314">
            <w:pPr>
              <w:jc w:val="center"/>
              <w:rPr>
                <w:rFonts w:eastAsia="Times New Roman" w:cs="Times New Roman"/>
                <w:sz w:val="24"/>
                <w:szCs w:val="24"/>
              </w:rPr>
            </w:pPr>
            <w:r w:rsidRPr="00032990">
              <w:rPr>
                <w:rFonts w:eastAsia="Times New Roman" w:cs="Times New Roman"/>
                <w:sz w:val="24"/>
                <w:szCs w:val="24"/>
              </w:rPr>
              <w:t>£1.32</w:t>
            </w:r>
          </w:p>
        </w:tc>
        <w:tc>
          <w:tcPr>
            <w:tcW w:w="0" w:type="auto"/>
          </w:tcPr>
          <w:p w:rsidR="000E7A2C" w:rsidRPr="00032990" w:rsidRDefault="000E7A2C" w:rsidP="00643314">
            <w:pPr>
              <w:jc w:val="center"/>
              <w:rPr>
                <w:rFonts w:eastAsia="Times New Roman" w:cs="Times New Roman"/>
                <w:sz w:val="24"/>
                <w:szCs w:val="24"/>
              </w:rPr>
            </w:pPr>
            <w:r w:rsidRPr="00032990">
              <w:rPr>
                <w:rFonts w:eastAsia="Times New Roman" w:cs="Times New Roman"/>
                <w:sz w:val="24"/>
                <w:szCs w:val="24"/>
              </w:rPr>
              <w:t>£1.32</w:t>
            </w:r>
          </w:p>
        </w:tc>
        <w:tc>
          <w:tcPr>
            <w:tcW w:w="0" w:type="auto"/>
          </w:tcPr>
          <w:p w:rsidR="000E7A2C" w:rsidRPr="00032990" w:rsidRDefault="000E7A2C" w:rsidP="00643314">
            <w:pPr>
              <w:jc w:val="center"/>
              <w:rPr>
                <w:rFonts w:eastAsia="Times New Roman" w:cs="Times New Roman"/>
                <w:sz w:val="24"/>
                <w:szCs w:val="24"/>
              </w:rPr>
            </w:pPr>
            <w:r w:rsidRPr="00032990">
              <w:rPr>
                <w:rFonts w:eastAsia="Times New Roman" w:cs="Times New Roman"/>
                <w:sz w:val="24"/>
                <w:szCs w:val="24"/>
              </w:rPr>
              <w:t>£1.32</w:t>
            </w:r>
          </w:p>
        </w:tc>
        <w:tc>
          <w:tcPr>
            <w:tcW w:w="0" w:type="auto"/>
          </w:tcPr>
          <w:p w:rsidR="000E7A2C" w:rsidRPr="00032990" w:rsidRDefault="000E7A2C" w:rsidP="00643314">
            <w:pPr>
              <w:jc w:val="center"/>
              <w:rPr>
                <w:rFonts w:eastAsia="Times New Roman" w:cs="Times New Roman"/>
                <w:sz w:val="24"/>
                <w:szCs w:val="24"/>
              </w:rPr>
            </w:pPr>
            <w:r w:rsidRPr="00032990">
              <w:rPr>
                <w:rFonts w:eastAsia="Times New Roman" w:cs="Times New Roman"/>
                <w:sz w:val="24"/>
                <w:szCs w:val="24"/>
              </w:rPr>
              <w:t>£1.32</w:t>
            </w:r>
          </w:p>
        </w:tc>
      </w:tr>
      <w:tr w:rsidR="000E7A2C" w:rsidRPr="00032990" w:rsidTr="00643314">
        <w:tc>
          <w:tcPr>
            <w:tcW w:w="0" w:type="auto"/>
          </w:tcPr>
          <w:p w:rsidR="000E7A2C" w:rsidRPr="00032990" w:rsidRDefault="000E7A2C" w:rsidP="00643314">
            <w:pPr>
              <w:jc w:val="center"/>
              <w:rPr>
                <w:rFonts w:eastAsia="Times New Roman" w:cs="Times New Roman"/>
                <w:b/>
                <w:sz w:val="28"/>
                <w:szCs w:val="24"/>
              </w:rPr>
            </w:pPr>
            <w:r w:rsidRPr="00032990">
              <w:rPr>
                <w:rFonts w:eastAsia="Times New Roman" w:cs="Times New Roman"/>
                <w:b/>
                <w:sz w:val="28"/>
                <w:szCs w:val="24"/>
              </w:rPr>
              <w:t>Total NHS Reimbursement</w:t>
            </w:r>
          </w:p>
        </w:tc>
        <w:tc>
          <w:tcPr>
            <w:tcW w:w="0" w:type="auto"/>
          </w:tcPr>
          <w:p w:rsidR="000E7A2C" w:rsidRPr="00032990" w:rsidRDefault="000E7A2C" w:rsidP="00643314">
            <w:pPr>
              <w:jc w:val="center"/>
              <w:rPr>
                <w:rFonts w:eastAsia="Times New Roman" w:cs="Times New Roman"/>
                <w:b/>
                <w:sz w:val="28"/>
                <w:szCs w:val="24"/>
              </w:rPr>
            </w:pPr>
            <w:r w:rsidRPr="00032990">
              <w:rPr>
                <w:rFonts w:eastAsia="Times New Roman" w:cs="Times New Roman"/>
                <w:b/>
                <w:sz w:val="28"/>
                <w:szCs w:val="24"/>
              </w:rPr>
              <w:t>£10.</w:t>
            </w:r>
            <w:r>
              <w:rPr>
                <w:rFonts w:eastAsia="Times New Roman" w:cs="Times New Roman"/>
                <w:b/>
                <w:sz w:val="28"/>
                <w:szCs w:val="24"/>
              </w:rPr>
              <w:t>32</w:t>
            </w:r>
          </w:p>
        </w:tc>
        <w:tc>
          <w:tcPr>
            <w:tcW w:w="0" w:type="auto"/>
          </w:tcPr>
          <w:p w:rsidR="000E7A2C" w:rsidRPr="00032990" w:rsidRDefault="000E7A2C" w:rsidP="00643314">
            <w:pPr>
              <w:jc w:val="center"/>
              <w:rPr>
                <w:rFonts w:eastAsia="Times New Roman" w:cs="Times New Roman"/>
                <w:b/>
                <w:sz w:val="28"/>
                <w:szCs w:val="24"/>
              </w:rPr>
            </w:pPr>
            <w:r w:rsidRPr="00032990">
              <w:rPr>
                <w:rFonts w:eastAsia="Times New Roman" w:cs="Times New Roman"/>
                <w:b/>
                <w:sz w:val="28"/>
                <w:szCs w:val="24"/>
              </w:rPr>
              <w:t>£10.</w:t>
            </w:r>
            <w:r>
              <w:rPr>
                <w:rFonts w:eastAsia="Times New Roman" w:cs="Times New Roman"/>
                <w:b/>
                <w:sz w:val="28"/>
                <w:szCs w:val="24"/>
              </w:rPr>
              <w:t>32</w:t>
            </w:r>
          </w:p>
        </w:tc>
        <w:tc>
          <w:tcPr>
            <w:tcW w:w="0" w:type="auto"/>
          </w:tcPr>
          <w:p w:rsidR="000E7A2C" w:rsidRPr="00032990" w:rsidRDefault="000E7A2C" w:rsidP="00643314">
            <w:pPr>
              <w:jc w:val="center"/>
              <w:rPr>
                <w:rFonts w:eastAsia="Times New Roman" w:cs="Times New Roman"/>
                <w:b/>
                <w:sz w:val="28"/>
                <w:szCs w:val="24"/>
              </w:rPr>
            </w:pPr>
            <w:r w:rsidRPr="00032990">
              <w:rPr>
                <w:rFonts w:eastAsia="Times New Roman" w:cs="Times New Roman"/>
                <w:b/>
                <w:sz w:val="28"/>
                <w:szCs w:val="24"/>
              </w:rPr>
              <w:t>£10.</w:t>
            </w:r>
            <w:r>
              <w:rPr>
                <w:rFonts w:eastAsia="Times New Roman" w:cs="Times New Roman"/>
                <w:b/>
                <w:sz w:val="28"/>
                <w:szCs w:val="24"/>
              </w:rPr>
              <w:t>32</w:t>
            </w:r>
          </w:p>
        </w:tc>
        <w:tc>
          <w:tcPr>
            <w:tcW w:w="0" w:type="auto"/>
          </w:tcPr>
          <w:p w:rsidR="000E7A2C" w:rsidRPr="00032990" w:rsidRDefault="000E7A2C" w:rsidP="00643314">
            <w:pPr>
              <w:jc w:val="center"/>
              <w:rPr>
                <w:rFonts w:eastAsia="Times New Roman" w:cs="Times New Roman"/>
                <w:b/>
                <w:sz w:val="28"/>
                <w:szCs w:val="24"/>
              </w:rPr>
            </w:pPr>
            <w:r w:rsidRPr="00032990">
              <w:rPr>
                <w:rFonts w:eastAsia="Times New Roman" w:cs="Times New Roman"/>
                <w:b/>
                <w:sz w:val="28"/>
                <w:szCs w:val="24"/>
              </w:rPr>
              <w:t>£10.</w:t>
            </w:r>
            <w:r>
              <w:rPr>
                <w:rFonts w:eastAsia="Times New Roman" w:cs="Times New Roman"/>
                <w:b/>
                <w:sz w:val="28"/>
                <w:szCs w:val="24"/>
              </w:rPr>
              <w:t>32</w:t>
            </w:r>
          </w:p>
        </w:tc>
      </w:tr>
      <w:tr w:rsidR="000E7A2C" w:rsidRPr="00032990" w:rsidTr="00643314">
        <w:tc>
          <w:tcPr>
            <w:tcW w:w="0" w:type="auto"/>
          </w:tcPr>
          <w:p w:rsidR="000E7A2C" w:rsidRPr="00032990" w:rsidRDefault="000E7A2C" w:rsidP="00643314">
            <w:pPr>
              <w:jc w:val="center"/>
              <w:rPr>
                <w:rFonts w:eastAsia="Times New Roman" w:cs="Times New Roman"/>
                <w:sz w:val="24"/>
                <w:szCs w:val="24"/>
              </w:rPr>
            </w:pPr>
            <w:r w:rsidRPr="00032990">
              <w:rPr>
                <w:rFonts w:eastAsia="Times New Roman" w:cs="Times New Roman"/>
                <w:sz w:val="24"/>
                <w:szCs w:val="24"/>
              </w:rPr>
              <w:t>Actual cost after discount</w:t>
            </w:r>
          </w:p>
        </w:tc>
        <w:tc>
          <w:tcPr>
            <w:tcW w:w="0" w:type="auto"/>
          </w:tcPr>
          <w:p w:rsidR="000E7A2C" w:rsidRPr="00032990" w:rsidRDefault="000E7A2C" w:rsidP="00643314">
            <w:pPr>
              <w:jc w:val="center"/>
              <w:rPr>
                <w:rFonts w:eastAsia="Times New Roman" w:cs="Times New Roman"/>
                <w:sz w:val="24"/>
                <w:szCs w:val="24"/>
              </w:rPr>
            </w:pPr>
            <w:r>
              <w:rPr>
                <w:rFonts w:eastAsia="Times New Roman" w:cs="Times New Roman"/>
                <w:sz w:val="24"/>
                <w:szCs w:val="24"/>
              </w:rPr>
              <w:t>£2.85</w:t>
            </w:r>
          </w:p>
        </w:tc>
        <w:tc>
          <w:tcPr>
            <w:tcW w:w="0" w:type="auto"/>
          </w:tcPr>
          <w:p w:rsidR="000E7A2C" w:rsidRPr="00032990" w:rsidRDefault="000E7A2C" w:rsidP="00643314">
            <w:pPr>
              <w:jc w:val="center"/>
              <w:rPr>
                <w:rFonts w:eastAsia="Times New Roman" w:cs="Times New Roman"/>
                <w:sz w:val="24"/>
                <w:szCs w:val="24"/>
              </w:rPr>
            </w:pPr>
            <w:r w:rsidRPr="00BE462D">
              <w:rPr>
                <w:rFonts w:ascii="Calibri" w:hAnsi="Calibri" w:cs="Calibri"/>
                <w:color w:val="000000"/>
                <w:sz w:val="24"/>
                <w:szCs w:val="24"/>
              </w:rPr>
              <w:t>£2.59</w:t>
            </w:r>
          </w:p>
        </w:tc>
        <w:tc>
          <w:tcPr>
            <w:tcW w:w="0" w:type="auto"/>
          </w:tcPr>
          <w:p w:rsidR="000E7A2C" w:rsidRPr="00032990" w:rsidRDefault="000E7A2C" w:rsidP="00643314">
            <w:pPr>
              <w:jc w:val="center"/>
              <w:rPr>
                <w:rFonts w:eastAsia="Times New Roman" w:cs="Times New Roman"/>
                <w:sz w:val="24"/>
                <w:szCs w:val="24"/>
              </w:rPr>
            </w:pPr>
            <w:r>
              <w:rPr>
                <w:rFonts w:eastAsia="Times New Roman" w:cs="Times New Roman"/>
                <w:sz w:val="24"/>
                <w:szCs w:val="24"/>
              </w:rPr>
              <w:t>£2.92</w:t>
            </w:r>
          </w:p>
        </w:tc>
        <w:tc>
          <w:tcPr>
            <w:tcW w:w="0" w:type="auto"/>
          </w:tcPr>
          <w:p w:rsidR="000E7A2C" w:rsidRPr="00032990" w:rsidRDefault="000E7A2C" w:rsidP="00643314">
            <w:pPr>
              <w:jc w:val="center"/>
              <w:rPr>
                <w:rFonts w:eastAsia="Times New Roman" w:cs="Times New Roman"/>
                <w:sz w:val="24"/>
                <w:szCs w:val="24"/>
              </w:rPr>
            </w:pPr>
            <w:r w:rsidRPr="00BE462D">
              <w:rPr>
                <w:rFonts w:ascii="Calibri" w:hAnsi="Calibri" w:cs="Calibri"/>
                <w:color w:val="000000"/>
                <w:sz w:val="24"/>
                <w:szCs w:val="24"/>
              </w:rPr>
              <w:t>£2.72</w:t>
            </w:r>
          </w:p>
        </w:tc>
      </w:tr>
      <w:tr w:rsidR="000E7A2C" w:rsidRPr="00032990" w:rsidTr="00643314">
        <w:tc>
          <w:tcPr>
            <w:tcW w:w="0" w:type="auto"/>
          </w:tcPr>
          <w:p w:rsidR="000E7A2C" w:rsidRPr="00032990" w:rsidRDefault="000E7A2C" w:rsidP="00643314">
            <w:pPr>
              <w:jc w:val="center"/>
              <w:rPr>
                <w:rFonts w:eastAsia="Times New Roman" w:cs="Times New Roman"/>
                <w:sz w:val="24"/>
                <w:szCs w:val="24"/>
              </w:rPr>
            </w:pPr>
            <w:r w:rsidRPr="00032990">
              <w:rPr>
                <w:rFonts w:eastAsia="Times New Roman" w:cs="Times New Roman"/>
                <w:sz w:val="24"/>
                <w:szCs w:val="24"/>
              </w:rPr>
              <w:t>VAT (20%)</w:t>
            </w:r>
          </w:p>
        </w:tc>
        <w:tc>
          <w:tcPr>
            <w:tcW w:w="0" w:type="auto"/>
          </w:tcPr>
          <w:p w:rsidR="000E7A2C" w:rsidRPr="00032990" w:rsidRDefault="000E7A2C" w:rsidP="00643314">
            <w:pPr>
              <w:jc w:val="center"/>
              <w:rPr>
                <w:rFonts w:eastAsia="Times New Roman" w:cs="Times New Roman"/>
                <w:sz w:val="24"/>
                <w:szCs w:val="24"/>
              </w:rPr>
            </w:pPr>
            <w:r>
              <w:rPr>
                <w:rFonts w:eastAsia="Times New Roman" w:cs="Times New Roman"/>
                <w:sz w:val="24"/>
                <w:szCs w:val="24"/>
              </w:rPr>
              <w:t>£0.57</w:t>
            </w:r>
          </w:p>
        </w:tc>
        <w:tc>
          <w:tcPr>
            <w:tcW w:w="0" w:type="auto"/>
          </w:tcPr>
          <w:p w:rsidR="000E7A2C" w:rsidRPr="00032990" w:rsidRDefault="000E7A2C" w:rsidP="00643314">
            <w:pPr>
              <w:jc w:val="center"/>
              <w:rPr>
                <w:rFonts w:eastAsia="Times New Roman" w:cs="Times New Roman"/>
                <w:sz w:val="24"/>
                <w:szCs w:val="24"/>
              </w:rPr>
            </w:pPr>
            <w:r w:rsidRPr="00BE462D">
              <w:rPr>
                <w:rFonts w:ascii="Calibri" w:hAnsi="Calibri" w:cs="Calibri"/>
                <w:color w:val="000000"/>
                <w:sz w:val="24"/>
                <w:szCs w:val="24"/>
              </w:rPr>
              <w:t>£0.52</w:t>
            </w:r>
          </w:p>
        </w:tc>
        <w:tc>
          <w:tcPr>
            <w:tcW w:w="0" w:type="auto"/>
          </w:tcPr>
          <w:p w:rsidR="000E7A2C" w:rsidRPr="00032990" w:rsidRDefault="000E7A2C" w:rsidP="00643314">
            <w:pPr>
              <w:jc w:val="center"/>
              <w:rPr>
                <w:rFonts w:eastAsia="Times New Roman" w:cs="Times New Roman"/>
                <w:sz w:val="24"/>
                <w:szCs w:val="24"/>
              </w:rPr>
            </w:pPr>
            <w:r>
              <w:rPr>
                <w:rFonts w:eastAsia="Times New Roman" w:cs="Times New Roman"/>
                <w:sz w:val="24"/>
                <w:szCs w:val="24"/>
              </w:rPr>
              <w:t>£0.58</w:t>
            </w:r>
          </w:p>
        </w:tc>
        <w:tc>
          <w:tcPr>
            <w:tcW w:w="0" w:type="auto"/>
          </w:tcPr>
          <w:p w:rsidR="000E7A2C" w:rsidRPr="00032990" w:rsidRDefault="000E7A2C" w:rsidP="00643314">
            <w:pPr>
              <w:jc w:val="center"/>
              <w:rPr>
                <w:rFonts w:eastAsia="Times New Roman" w:cs="Times New Roman"/>
                <w:sz w:val="24"/>
                <w:szCs w:val="24"/>
              </w:rPr>
            </w:pPr>
            <w:r w:rsidRPr="00BE462D">
              <w:rPr>
                <w:rFonts w:ascii="Calibri" w:hAnsi="Calibri" w:cs="Calibri"/>
                <w:color w:val="000000"/>
                <w:sz w:val="24"/>
                <w:szCs w:val="24"/>
              </w:rPr>
              <w:t>£0.54</w:t>
            </w:r>
          </w:p>
        </w:tc>
      </w:tr>
      <w:tr w:rsidR="000E7A2C" w:rsidRPr="00032990" w:rsidTr="00643314">
        <w:tc>
          <w:tcPr>
            <w:tcW w:w="0" w:type="auto"/>
          </w:tcPr>
          <w:p w:rsidR="000E7A2C" w:rsidRPr="00032990" w:rsidRDefault="000E7A2C" w:rsidP="00643314">
            <w:pPr>
              <w:jc w:val="center"/>
              <w:rPr>
                <w:rFonts w:eastAsia="Times New Roman" w:cs="Times New Roman"/>
                <w:sz w:val="24"/>
                <w:szCs w:val="24"/>
              </w:rPr>
            </w:pPr>
            <w:r w:rsidRPr="00032990">
              <w:rPr>
                <w:rFonts w:eastAsia="Times New Roman" w:cs="Times New Roman"/>
                <w:sz w:val="24"/>
                <w:szCs w:val="24"/>
              </w:rPr>
              <w:t>Total cost to practice</w:t>
            </w:r>
          </w:p>
        </w:tc>
        <w:tc>
          <w:tcPr>
            <w:tcW w:w="0" w:type="auto"/>
          </w:tcPr>
          <w:p w:rsidR="000E7A2C" w:rsidRPr="00032990" w:rsidRDefault="000E7A2C" w:rsidP="00643314">
            <w:pPr>
              <w:jc w:val="center"/>
              <w:rPr>
                <w:rFonts w:eastAsia="Times New Roman" w:cs="Times New Roman"/>
                <w:sz w:val="24"/>
                <w:szCs w:val="24"/>
              </w:rPr>
            </w:pPr>
            <w:r>
              <w:rPr>
                <w:rFonts w:eastAsia="Times New Roman" w:cs="Times New Roman"/>
                <w:sz w:val="24"/>
                <w:szCs w:val="24"/>
              </w:rPr>
              <w:t>£3.42</w:t>
            </w:r>
          </w:p>
        </w:tc>
        <w:tc>
          <w:tcPr>
            <w:tcW w:w="0" w:type="auto"/>
          </w:tcPr>
          <w:p w:rsidR="000E7A2C" w:rsidRPr="00032990" w:rsidRDefault="000E7A2C" w:rsidP="00643314">
            <w:pPr>
              <w:jc w:val="center"/>
              <w:rPr>
                <w:rFonts w:eastAsia="Times New Roman" w:cs="Times New Roman"/>
                <w:sz w:val="24"/>
                <w:szCs w:val="24"/>
              </w:rPr>
            </w:pPr>
            <w:r w:rsidRPr="00BE462D">
              <w:rPr>
                <w:rFonts w:ascii="Calibri" w:hAnsi="Calibri" w:cs="Calibri"/>
                <w:color w:val="000000"/>
                <w:sz w:val="24"/>
                <w:szCs w:val="24"/>
              </w:rPr>
              <w:t>£3.11</w:t>
            </w:r>
          </w:p>
        </w:tc>
        <w:tc>
          <w:tcPr>
            <w:tcW w:w="0" w:type="auto"/>
          </w:tcPr>
          <w:p w:rsidR="000E7A2C" w:rsidRPr="00032990" w:rsidRDefault="000E7A2C" w:rsidP="00643314">
            <w:pPr>
              <w:jc w:val="center"/>
              <w:rPr>
                <w:rFonts w:eastAsia="Times New Roman" w:cs="Times New Roman"/>
                <w:sz w:val="24"/>
                <w:szCs w:val="24"/>
              </w:rPr>
            </w:pPr>
            <w:r>
              <w:rPr>
                <w:rFonts w:eastAsia="Times New Roman" w:cs="Times New Roman"/>
                <w:sz w:val="24"/>
                <w:szCs w:val="24"/>
              </w:rPr>
              <w:t>£3.50</w:t>
            </w:r>
          </w:p>
        </w:tc>
        <w:tc>
          <w:tcPr>
            <w:tcW w:w="0" w:type="auto"/>
          </w:tcPr>
          <w:p w:rsidR="000E7A2C" w:rsidRPr="00032990" w:rsidRDefault="000E7A2C" w:rsidP="00643314">
            <w:pPr>
              <w:jc w:val="center"/>
              <w:rPr>
                <w:rFonts w:eastAsia="Times New Roman" w:cs="Times New Roman"/>
                <w:sz w:val="24"/>
                <w:szCs w:val="24"/>
              </w:rPr>
            </w:pPr>
            <w:r w:rsidRPr="00BE462D">
              <w:rPr>
                <w:rFonts w:ascii="Calibri" w:hAnsi="Calibri" w:cs="Calibri"/>
                <w:color w:val="000000"/>
                <w:sz w:val="24"/>
                <w:szCs w:val="24"/>
              </w:rPr>
              <w:t>£3.26</w:t>
            </w:r>
          </w:p>
        </w:tc>
      </w:tr>
      <w:tr w:rsidR="000E7A2C" w:rsidRPr="00032990" w:rsidTr="00643314">
        <w:tc>
          <w:tcPr>
            <w:tcW w:w="0" w:type="auto"/>
          </w:tcPr>
          <w:p w:rsidR="000E7A2C" w:rsidRPr="00032990" w:rsidRDefault="000E7A2C" w:rsidP="00643314">
            <w:pPr>
              <w:jc w:val="center"/>
              <w:rPr>
                <w:rFonts w:eastAsia="Times New Roman" w:cs="Times New Roman"/>
                <w:b/>
                <w:sz w:val="28"/>
                <w:szCs w:val="24"/>
              </w:rPr>
            </w:pPr>
            <w:r w:rsidRPr="00032990">
              <w:rPr>
                <w:rFonts w:eastAsia="Times New Roman" w:cs="Times New Roman"/>
                <w:b/>
                <w:sz w:val="28"/>
                <w:szCs w:val="24"/>
              </w:rPr>
              <w:t>Total Profit Per Dose (PPD)</w:t>
            </w:r>
          </w:p>
        </w:tc>
        <w:tc>
          <w:tcPr>
            <w:tcW w:w="0" w:type="auto"/>
          </w:tcPr>
          <w:p w:rsidR="000E7A2C" w:rsidRPr="00032990" w:rsidRDefault="000E7A2C" w:rsidP="00643314">
            <w:pPr>
              <w:jc w:val="center"/>
              <w:rPr>
                <w:rFonts w:eastAsia="Times New Roman" w:cs="Times New Roman"/>
                <w:b/>
                <w:sz w:val="28"/>
                <w:szCs w:val="24"/>
              </w:rPr>
            </w:pPr>
            <w:r>
              <w:rPr>
                <w:rFonts w:eastAsia="Times New Roman" w:cs="Times New Roman"/>
                <w:b/>
                <w:sz w:val="28"/>
                <w:szCs w:val="24"/>
              </w:rPr>
              <w:t>£6.90</w:t>
            </w:r>
          </w:p>
        </w:tc>
        <w:tc>
          <w:tcPr>
            <w:tcW w:w="0" w:type="auto"/>
          </w:tcPr>
          <w:p w:rsidR="000E7A2C" w:rsidRPr="00032990" w:rsidRDefault="000E7A2C" w:rsidP="00643314">
            <w:pPr>
              <w:jc w:val="center"/>
              <w:rPr>
                <w:rFonts w:eastAsia="Times New Roman" w:cs="Times New Roman"/>
                <w:b/>
                <w:sz w:val="28"/>
                <w:szCs w:val="24"/>
              </w:rPr>
            </w:pPr>
            <w:r>
              <w:rPr>
                <w:rFonts w:ascii="Calibri" w:hAnsi="Calibri" w:cs="Calibri"/>
                <w:b/>
                <w:color w:val="000000"/>
                <w:sz w:val="28"/>
                <w:szCs w:val="24"/>
              </w:rPr>
              <w:t>£7.21</w:t>
            </w:r>
          </w:p>
        </w:tc>
        <w:tc>
          <w:tcPr>
            <w:tcW w:w="0" w:type="auto"/>
          </w:tcPr>
          <w:p w:rsidR="000E7A2C" w:rsidRPr="00032990" w:rsidRDefault="000E7A2C" w:rsidP="00643314">
            <w:pPr>
              <w:jc w:val="center"/>
              <w:rPr>
                <w:rFonts w:eastAsia="Times New Roman" w:cs="Times New Roman"/>
                <w:b/>
                <w:sz w:val="28"/>
                <w:szCs w:val="24"/>
              </w:rPr>
            </w:pPr>
            <w:r>
              <w:rPr>
                <w:rFonts w:eastAsia="Times New Roman" w:cs="Times New Roman"/>
                <w:b/>
                <w:sz w:val="28"/>
                <w:szCs w:val="24"/>
              </w:rPr>
              <w:t>£6.82</w:t>
            </w:r>
          </w:p>
        </w:tc>
        <w:tc>
          <w:tcPr>
            <w:tcW w:w="0" w:type="auto"/>
          </w:tcPr>
          <w:p w:rsidR="000E7A2C" w:rsidRPr="00032990" w:rsidRDefault="000E7A2C" w:rsidP="00643314">
            <w:pPr>
              <w:jc w:val="center"/>
              <w:rPr>
                <w:rFonts w:eastAsia="Times New Roman" w:cs="Times New Roman"/>
                <w:b/>
                <w:sz w:val="28"/>
                <w:szCs w:val="24"/>
              </w:rPr>
            </w:pPr>
            <w:r>
              <w:rPr>
                <w:rFonts w:ascii="Calibri" w:hAnsi="Calibri" w:cs="Calibri"/>
                <w:b/>
                <w:color w:val="000000"/>
                <w:sz w:val="28"/>
                <w:szCs w:val="24"/>
              </w:rPr>
              <w:t>£7.06</w:t>
            </w:r>
          </w:p>
        </w:tc>
      </w:tr>
    </w:tbl>
    <w:p w:rsidR="000E7A2C" w:rsidRDefault="000E7A2C" w:rsidP="000E7A2C">
      <w:pPr>
        <w:autoSpaceDE w:val="0"/>
        <w:autoSpaceDN w:val="0"/>
        <w:adjustRightInd w:val="0"/>
        <w:spacing w:after="0" w:line="240" w:lineRule="auto"/>
        <w:rPr>
          <w:rFonts w:eastAsia="Times New Roman" w:cs="Times New Roman"/>
          <w:sz w:val="20"/>
        </w:rPr>
      </w:pPr>
      <w:r>
        <w:rPr>
          <w:rFonts w:eastAsia="Times New Roman" w:cs="Times New Roman"/>
          <w:sz w:val="20"/>
        </w:rPr>
        <w:t xml:space="preserve">+ To qualify for Pfizer’s maximum discount, you need to agree to a </w:t>
      </w:r>
      <w:r w:rsidRPr="000E0BF2">
        <w:rPr>
          <w:rFonts w:eastAsia="Times New Roman" w:cs="Times New Roman"/>
          <w:sz w:val="20"/>
        </w:rPr>
        <w:t xml:space="preserve">reduced sale or return </w:t>
      </w:r>
      <w:r>
        <w:rPr>
          <w:rFonts w:eastAsia="Times New Roman" w:cs="Times New Roman"/>
          <w:sz w:val="20"/>
        </w:rPr>
        <w:t xml:space="preserve">(additional 3% on top of the base discount) </w:t>
      </w:r>
      <w:r w:rsidRPr="000E0BF2">
        <w:rPr>
          <w:rFonts w:eastAsia="Times New Roman" w:cs="Times New Roman"/>
          <w:sz w:val="20"/>
        </w:rPr>
        <w:t>and another 1% if you agree to take the no cancellation option</w:t>
      </w:r>
      <w:r>
        <w:rPr>
          <w:rFonts w:eastAsia="Times New Roman" w:cs="Times New Roman"/>
          <w:sz w:val="20"/>
        </w:rPr>
        <w:t>.</w:t>
      </w:r>
    </w:p>
    <w:p w:rsidR="000E7A2C" w:rsidRPr="00032990" w:rsidRDefault="000E7A2C" w:rsidP="000E7A2C">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2016 (see separate table).</w:t>
      </w:r>
    </w:p>
    <w:p w:rsidR="000E7A2C" w:rsidRDefault="000E7A2C" w:rsidP="000E7A2C">
      <w:pPr>
        <w:autoSpaceDE w:val="0"/>
        <w:autoSpaceDN w:val="0"/>
        <w:adjustRightInd w:val="0"/>
        <w:spacing w:after="0" w:line="240" w:lineRule="auto"/>
        <w:rPr>
          <w:rFonts w:ascii="Calibri" w:hAnsi="Calibri" w:cs="Calibri"/>
          <w:color w:val="000000"/>
          <w:sz w:val="24"/>
          <w:szCs w:val="24"/>
        </w:rPr>
      </w:pPr>
    </w:p>
    <w:p w:rsidR="000E7A2C" w:rsidRDefault="000E7A2C" w:rsidP="000E7A2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Pfizer offer also includes:</w:t>
      </w:r>
    </w:p>
    <w:p w:rsidR="000E7A2C" w:rsidRPr="00032990" w:rsidRDefault="000E7A2C" w:rsidP="000E7A2C">
      <w:pPr>
        <w:autoSpaceDE w:val="0"/>
        <w:autoSpaceDN w:val="0"/>
        <w:adjustRightInd w:val="0"/>
        <w:spacing w:after="0" w:line="240" w:lineRule="auto"/>
        <w:rPr>
          <w:rFonts w:ascii="Calibri" w:hAnsi="Calibri" w:cs="Calibri"/>
          <w:color w:val="000000"/>
          <w:sz w:val="24"/>
          <w:szCs w:val="24"/>
        </w:rPr>
      </w:pPr>
    </w:p>
    <w:p w:rsidR="000E7A2C" w:rsidRDefault="000E7A2C" w:rsidP="000E7A2C">
      <w:pPr>
        <w:pStyle w:val="NoSpacing"/>
        <w:numPr>
          <w:ilvl w:val="0"/>
          <w:numId w:val="2"/>
        </w:numPr>
      </w:pPr>
      <w:r w:rsidRPr="00B866B9">
        <w:t xml:space="preserve">A 20% sale or return facility </w:t>
      </w:r>
      <w:r>
        <w:t>or 10% if order is split with another company</w:t>
      </w:r>
    </w:p>
    <w:p w:rsidR="000E7A2C" w:rsidRDefault="000E7A2C" w:rsidP="000E7A2C">
      <w:pPr>
        <w:pStyle w:val="NoSpacing"/>
        <w:numPr>
          <w:ilvl w:val="0"/>
          <w:numId w:val="2"/>
        </w:numPr>
      </w:pPr>
      <w:r w:rsidRPr="00B866B9">
        <w:t xml:space="preserve">10% </w:t>
      </w:r>
      <w:r>
        <w:t xml:space="preserve">reserve </w:t>
      </w:r>
      <w:r w:rsidRPr="00B866B9">
        <w:t>(up to max 200 doses) if ordering by 23</w:t>
      </w:r>
      <w:r>
        <w:t xml:space="preserve"> December 2016</w:t>
      </w:r>
    </w:p>
    <w:p w:rsidR="000E7A2C" w:rsidRDefault="000E7A2C" w:rsidP="000E7A2C">
      <w:pPr>
        <w:pStyle w:val="NoSpacing"/>
        <w:numPr>
          <w:ilvl w:val="0"/>
          <w:numId w:val="2"/>
        </w:numPr>
      </w:pPr>
      <w:r w:rsidRPr="00AE1CF3">
        <w:t>If No Cancellation is taken orders can be varied +/- 15% up to 4 weeks prior to delivery</w:t>
      </w:r>
    </w:p>
    <w:p w:rsidR="000E7A2C" w:rsidRDefault="000E7A2C" w:rsidP="000E7A2C">
      <w:pPr>
        <w:pStyle w:val="NoSpacing"/>
        <w:numPr>
          <w:ilvl w:val="0"/>
          <w:numId w:val="2"/>
        </w:numPr>
      </w:pPr>
      <w:r w:rsidRPr="00AE1CF3">
        <w:t>Named day cold chain delivery</w:t>
      </w:r>
    </w:p>
    <w:p w:rsidR="000E7A2C" w:rsidRDefault="000E7A2C" w:rsidP="000E7A2C">
      <w:pPr>
        <w:pStyle w:val="NoSpacing"/>
        <w:numPr>
          <w:ilvl w:val="0"/>
          <w:numId w:val="2"/>
        </w:numPr>
      </w:pPr>
      <w:r w:rsidRPr="00AE1CF3">
        <w:t>Personal nominated account manager</w:t>
      </w:r>
    </w:p>
    <w:p w:rsidR="000E7A2C" w:rsidRDefault="000E7A2C" w:rsidP="000E7A2C">
      <w:pPr>
        <w:pStyle w:val="NoSpacing"/>
        <w:numPr>
          <w:ilvl w:val="0"/>
          <w:numId w:val="2"/>
        </w:numPr>
      </w:pPr>
      <w:r w:rsidRPr="00AE1CF3">
        <w:t>100 dose minimum delivery volume</w:t>
      </w:r>
    </w:p>
    <w:p w:rsidR="000E7A2C" w:rsidRDefault="000E7A2C" w:rsidP="000E7A2C">
      <w:pPr>
        <w:pStyle w:val="NoSpacing"/>
        <w:numPr>
          <w:ilvl w:val="0"/>
          <w:numId w:val="2"/>
        </w:numPr>
      </w:pPr>
      <w:r w:rsidRPr="00AE1CF3">
        <w:t>Range of support materials</w:t>
      </w:r>
    </w:p>
    <w:p w:rsidR="000E7A2C" w:rsidRDefault="000E7A2C" w:rsidP="000E7A2C">
      <w:pPr>
        <w:pStyle w:val="NoSpacing"/>
        <w:numPr>
          <w:ilvl w:val="0"/>
          <w:numId w:val="2"/>
        </w:numPr>
      </w:pPr>
      <w:r w:rsidRPr="00AE1CF3">
        <w:t>120 days’ credit from each invoice date</w:t>
      </w:r>
    </w:p>
    <w:p w:rsidR="000E7A2C" w:rsidRDefault="000E7A2C" w:rsidP="000E7A2C">
      <w:pPr>
        <w:pStyle w:val="NoSpacing"/>
        <w:numPr>
          <w:ilvl w:val="0"/>
          <w:numId w:val="2"/>
        </w:numPr>
      </w:pPr>
      <w:r w:rsidRPr="00AE1CF3">
        <w:t>Any sale or return of vaccine mu</w:t>
      </w:r>
      <w:r>
        <w:t>st be notified to Pfizer by 28</w:t>
      </w:r>
      <w:r w:rsidRPr="00AE1CF3">
        <w:t xml:space="preserve"> February 2018</w:t>
      </w:r>
    </w:p>
    <w:p w:rsidR="000E7A2C" w:rsidRDefault="000E7A2C" w:rsidP="000E7A2C">
      <w:pPr>
        <w:pStyle w:val="NoSpacing"/>
        <w:numPr>
          <w:ilvl w:val="0"/>
          <w:numId w:val="2"/>
        </w:numPr>
      </w:pPr>
      <w:r w:rsidRPr="00AE1CF3">
        <w:t>If No Cancellation option is not taken or</w:t>
      </w:r>
      <w:r>
        <w:t>ders can be cancelled up to 28</w:t>
      </w:r>
      <w:r w:rsidRPr="00AE1CF3">
        <w:t xml:space="preserve"> February 2017</w:t>
      </w:r>
    </w:p>
    <w:p w:rsidR="000E7A2C" w:rsidRPr="00AE1CF3" w:rsidRDefault="000E7A2C" w:rsidP="000E7A2C">
      <w:pPr>
        <w:pStyle w:val="NoSpacing"/>
        <w:numPr>
          <w:ilvl w:val="0"/>
          <w:numId w:val="2"/>
        </w:numPr>
      </w:pPr>
      <w:r w:rsidRPr="00AE1CF3">
        <w:t>Any reser</w:t>
      </w:r>
      <w:r>
        <w:t xml:space="preserve">ve vaccines will </w:t>
      </w:r>
      <w:proofErr w:type="gramStart"/>
      <w:r>
        <w:t>held</w:t>
      </w:r>
      <w:proofErr w:type="gramEnd"/>
      <w:r>
        <w:t xml:space="preserve"> until 20</w:t>
      </w:r>
      <w:r w:rsidRPr="00AE1CF3">
        <w:t xml:space="preserve"> October 2017</w:t>
      </w:r>
    </w:p>
    <w:p w:rsidR="000E7A2C" w:rsidRDefault="000E7A2C" w:rsidP="000E7A2C">
      <w:pPr>
        <w:pStyle w:val="NoSpacing"/>
        <w:jc w:val="center"/>
        <w:rPr>
          <w:b/>
          <w:color w:val="7030A0"/>
          <w:sz w:val="40"/>
        </w:rPr>
      </w:pPr>
    </w:p>
    <w:p w:rsidR="000E7A2C" w:rsidRPr="00032990" w:rsidRDefault="000E7A2C" w:rsidP="000E7A2C">
      <w:pPr>
        <w:spacing w:after="0" w:line="240" w:lineRule="auto"/>
        <w:rPr>
          <w:rFonts w:eastAsia="Times New Roman" w:cstheme="minorHAnsi"/>
          <w:b/>
          <w:sz w:val="28"/>
          <w:szCs w:val="20"/>
        </w:rPr>
      </w:pPr>
      <w:r w:rsidRPr="00032990">
        <w:rPr>
          <w:rFonts w:eastAsia="Times New Roman" w:cstheme="minorHAnsi"/>
          <w:b/>
          <w:sz w:val="28"/>
          <w:szCs w:val="20"/>
        </w:rPr>
        <w:t>Contact Us</w:t>
      </w:r>
    </w:p>
    <w:p w:rsidR="000E7A2C" w:rsidRPr="00032990" w:rsidRDefault="000E7A2C" w:rsidP="000E7A2C">
      <w:pPr>
        <w:spacing w:after="0" w:line="240" w:lineRule="auto"/>
        <w:rPr>
          <w:rFonts w:eastAsia="Times New Roman" w:cstheme="minorHAnsi"/>
          <w:b/>
          <w:sz w:val="28"/>
          <w:szCs w:val="20"/>
        </w:rPr>
      </w:pPr>
    </w:p>
    <w:p w:rsidR="000E7A2C" w:rsidRPr="00032990" w:rsidRDefault="000E7A2C" w:rsidP="000E7A2C">
      <w:pPr>
        <w:spacing w:after="0" w:line="240" w:lineRule="auto"/>
        <w:rPr>
          <w:rFonts w:eastAsia="Times New Roman" w:cstheme="minorHAnsi"/>
          <w:color w:val="0563C1" w:themeColor="hyperlink"/>
          <w:sz w:val="24"/>
          <w:szCs w:val="24"/>
          <w:u w:val="single"/>
        </w:rPr>
      </w:pPr>
      <w:r w:rsidRPr="00032990">
        <w:rPr>
          <w:rFonts w:eastAsia="Times New Roman" w:cstheme="minorHAnsi"/>
          <w:sz w:val="24"/>
          <w:szCs w:val="24"/>
        </w:rPr>
        <w:t xml:space="preserve">Tel: 0800 089 4033; Email: </w:t>
      </w:r>
      <w:hyperlink r:id="rId7" w:history="1">
        <w:r w:rsidRPr="00032990">
          <w:rPr>
            <w:rFonts w:eastAsia="Times New Roman" w:cstheme="minorHAnsi"/>
            <w:color w:val="0563C1" w:themeColor="hyperlink"/>
            <w:sz w:val="24"/>
            <w:szCs w:val="24"/>
            <w:u w:val="single"/>
          </w:rPr>
          <w:t>vaccinesuk@pfizer.com</w:t>
        </w:r>
      </w:hyperlink>
    </w:p>
    <w:p w:rsidR="000E7A2C" w:rsidRDefault="000E7A2C" w:rsidP="000E7A2C">
      <w:pPr>
        <w:pStyle w:val="NoSpacing"/>
        <w:rPr>
          <w:b/>
        </w:rPr>
      </w:pPr>
    </w:p>
    <w:p w:rsidR="000E7A2C" w:rsidRDefault="000E7A2C" w:rsidP="000E7A2C">
      <w:pPr>
        <w:spacing w:after="0" w:line="240" w:lineRule="auto"/>
        <w:jc w:val="center"/>
        <w:rPr>
          <w:rFonts w:eastAsia="Times New Roman" w:cs="Times New Roman"/>
          <w:b/>
          <w:color w:val="FF0000"/>
          <w:sz w:val="36"/>
          <w:szCs w:val="32"/>
        </w:rPr>
      </w:pPr>
    </w:p>
    <w:p w:rsidR="000E7A2C" w:rsidRPr="00032990" w:rsidRDefault="000E7A2C" w:rsidP="000E7A2C">
      <w:pPr>
        <w:spacing w:after="0" w:line="240" w:lineRule="auto"/>
        <w:jc w:val="center"/>
        <w:rPr>
          <w:rFonts w:eastAsia="Times New Roman" w:cs="Times New Roman"/>
          <w:b/>
          <w:color w:val="7030A0"/>
          <w:sz w:val="36"/>
          <w:szCs w:val="32"/>
        </w:rPr>
      </w:pPr>
      <w:r w:rsidRPr="00032990">
        <w:rPr>
          <w:rFonts w:eastAsia="Times New Roman" w:cs="Times New Roman"/>
          <w:b/>
          <w:color w:val="7030A0"/>
          <w:sz w:val="36"/>
          <w:szCs w:val="32"/>
        </w:rPr>
        <w:lastRenderedPageBreak/>
        <w:t>Pfizer Vaccines</w:t>
      </w:r>
    </w:p>
    <w:p w:rsidR="000E7A2C" w:rsidRPr="00032990" w:rsidRDefault="000E7A2C" w:rsidP="000E7A2C">
      <w:pPr>
        <w:spacing w:after="0" w:line="240" w:lineRule="auto"/>
        <w:rPr>
          <w:rFonts w:ascii="Arial" w:eastAsia="Times New Roman" w:hAnsi="Arial" w:cs="Times New Roman"/>
          <w:bCs/>
          <w:szCs w:val="20"/>
        </w:rPr>
      </w:pPr>
    </w:p>
    <w:p w:rsidR="000E7A2C" w:rsidRPr="00032990" w:rsidRDefault="000E7A2C" w:rsidP="000E7A2C">
      <w:pPr>
        <w:spacing w:after="0" w:line="240" w:lineRule="auto"/>
        <w:jc w:val="center"/>
        <w:rPr>
          <w:rFonts w:eastAsia="Times New Roman" w:cs="Times New Roman"/>
          <w:b/>
          <w:sz w:val="32"/>
          <w:szCs w:val="32"/>
        </w:rPr>
      </w:pPr>
      <w:r w:rsidRPr="00032990">
        <w:rPr>
          <w:rFonts w:eastAsia="Times New Roman" w:cs="Times New Roman"/>
          <w:b/>
          <w:sz w:val="32"/>
          <w:szCs w:val="32"/>
        </w:rPr>
        <w:t>Enzira (low cost alternative)</w:t>
      </w:r>
    </w:p>
    <w:p w:rsidR="000E7A2C" w:rsidRPr="00032990" w:rsidRDefault="000E7A2C" w:rsidP="000E7A2C">
      <w:pPr>
        <w:spacing w:after="0" w:line="240" w:lineRule="auto"/>
        <w:jc w:val="center"/>
        <w:rPr>
          <w:rFonts w:eastAsia="Times New Roman" w:cs="Times New Roman"/>
          <w:b/>
        </w:rPr>
      </w:pPr>
    </w:p>
    <w:tbl>
      <w:tblPr>
        <w:tblStyle w:val="TableGrid"/>
        <w:tblW w:w="0" w:type="auto"/>
        <w:tblLook w:val="04A0" w:firstRow="1" w:lastRow="0" w:firstColumn="1" w:lastColumn="0" w:noHBand="0" w:noVBand="1"/>
      </w:tblPr>
      <w:tblGrid>
        <w:gridCol w:w="2306"/>
        <w:gridCol w:w="1725"/>
        <w:gridCol w:w="1718"/>
        <w:gridCol w:w="1693"/>
        <w:gridCol w:w="1574"/>
      </w:tblGrid>
      <w:tr w:rsidR="000E7A2C" w:rsidRPr="00032990" w:rsidTr="00643314">
        <w:tc>
          <w:tcPr>
            <w:tcW w:w="0" w:type="auto"/>
          </w:tcPr>
          <w:p w:rsidR="000E7A2C" w:rsidRPr="00032990" w:rsidRDefault="000E7A2C" w:rsidP="00643314">
            <w:pPr>
              <w:jc w:val="center"/>
              <w:rPr>
                <w:rFonts w:eastAsia="Times New Roman" w:cs="Times New Roman"/>
                <w:b/>
                <w:sz w:val="24"/>
              </w:rPr>
            </w:pPr>
          </w:p>
        </w:tc>
        <w:tc>
          <w:tcPr>
            <w:tcW w:w="0" w:type="auto"/>
          </w:tcPr>
          <w:p w:rsidR="000E7A2C" w:rsidRPr="00032990" w:rsidRDefault="000E7A2C" w:rsidP="00643314">
            <w:pPr>
              <w:jc w:val="center"/>
              <w:rPr>
                <w:rFonts w:eastAsia="Times New Roman" w:cs="Times New Roman"/>
                <w:b/>
                <w:sz w:val="24"/>
              </w:rPr>
            </w:pPr>
            <w:r w:rsidRPr="00032990">
              <w:rPr>
                <w:rFonts w:eastAsia="Times New Roman" w:cs="Times New Roman"/>
                <w:b/>
                <w:sz w:val="24"/>
              </w:rPr>
              <w:t>Ordered before 2</w:t>
            </w:r>
            <w:r>
              <w:rPr>
                <w:rFonts w:eastAsia="Times New Roman" w:cs="Times New Roman"/>
                <w:b/>
                <w:sz w:val="24"/>
              </w:rPr>
              <w:t>3</w:t>
            </w:r>
            <w:r w:rsidRPr="00032990">
              <w:rPr>
                <w:rFonts w:eastAsia="Times New Roman" w:cs="Times New Roman"/>
                <w:b/>
                <w:sz w:val="24"/>
              </w:rPr>
              <w:t xml:space="preserve"> Dec + base discount (4</w:t>
            </w:r>
            <w:r>
              <w:rPr>
                <w:rFonts w:eastAsia="Times New Roman" w:cs="Times New Roman"/>
                <w:b/>
                <w:sz w:val="24"/>
              </w:rPr>
              <w:t>4</w:t>
            </w:r>
            <w:r w:rsidRPr="00032990">
              <w:rPr>
                <w:rFonts w:eastAsia="Times New Roman" w:cs="Times New Roman"/>
                <w:b/>
                <w:sz w:val="24"/>
              </w:rPr>
              <w:t>%)</w:t>
            </w:r>
          </w:p>
        </w:tc>
        <w:tc>
          <w:tcPr>
            <w:tcW w:w="0" w:type="auto"/>
          </w:tcPr>
          <w:p w:rsidR="000E7A2C" w:rsidRPr="00032990" w:rsidRDefault="000E7A2C" w:rsidP="00643314">
            <w:pPr>
              <w:jc w:val="center"/>
              <w:rPr>
                <w:rFonts w:eastAsia="Times New Roman" w:cs="Times New Roman"/>
                <w:b/>
                <w:sz w:val="24"/>
              </w:rPr>
            </w:pPr>
            <w:r w:rsidRPr="00032990">
              <w:rPr>
                <w:rFonts w:eastAsia="Times New Roman" w:cs="Times New Roman"/>
                <w:b/>
                <w:sz w:val="24"/>
              </w:rPr>
              <w:t>Ordered before 2</w:t>
            </w:r>
            <w:r>
              <w:rPr>
                <w:rFonts w:eastAsia="Times New Roman" w:cs="Times New Roman"/>
                <w:b/>
                <w:sz w:val="24"/>
              </w:rPr>
              <w:t>3</w:t>
            </w:r>
            <w:r w:rsidRPr="00032990">
              <w:rPr>
                <w:rFonts w:eastAsia="Times New Roman" w:cs="Times New Roman"/>
                <w:b/>
                <w:sz w:val="24"/>
              </w:rPr>
              <w:t xml:space="preserve"> Dec + max discount (</w:t>
            </w:r>
            <w:r>
              <w:rPr>
                <w:rFonts w:eastAsia="Times New Roman" w:cs="Times New Roman"/>
                <w:b/>
                <w:sz w:val="24"/>
              </w:rPr>
              <w:t>47</w:t>
            </w:r>
            <w:r w:rsidRPr="00032990">
              <w:rPr>
                <w:rFonts w:eastAsia="Times New Roman" w:cs="Times New Roman"/>
                <w:b/>
                <w:sz w:val="24"/>
              </w:rPr>
              <w:t>%)</w:t>
            </w:r>
          </w:p>
        </w:tc>
        <w:tc>
          <w:tcPr>
            <w:tcW w:w="0" w:type="auto"/>
          </w:tcPr>
          <w:p w:rsidR="000E7A2C" w:rsidRPr="00032990" w:rsidRDefault="000E7A2C" w:rsidP="00643314">
            <w:pPr>
              <w:jc w:val="center"/>
              <w:rPr>
                <w:rFonts w:eastAsia="Times New Roman" w:cs="Times New Roman"/>
                <w:b/>
                <w:sz w:val="24"/>
              </w:rPr>
            </w:pPr>
            <w:r w:rsidRPr="00032990">
              <w:rPr>
                <w:rFonts w:eastAsia="Times New Roman" w:cs="Times New Roman"/>
                <w:b/>
                <w:sz w:val="24"/>
              </w:rPr>
              <w:t>Ordered after 2</w:t>
            </w:r>
            <w:r>
              <w:rPr>
                <w:rFonts w:eastAsia="Times New Roman" w:cs="Times New Roman"/>
                <w:b/>
                <w:sz w:val="24"/>
              </w:rPr>
              <w:t>3</w:t>
            </w:r>
            <w:r w:rsidRPr="00032990">
              <w:rPr>
                <w:rFonts w:eastAsia="Times New Roman" w:cs="Times New Roman"/>
                <w:b/>
                <w:sz w:val="24"/>
              </w:rPr>
              <w:t xml:space="preserve"> Dec + base discount (4</w:t>
            </w:r>
            <w:r>
              <w:rPr>
                <w:rFonts w:eastAsia="Times New Roman" w:cs="Times New Roman"/>
                <w:b/>
                <w:sz w:val="24"/>
              </w:rPr>
              <w:t>3</w:t>
            </w:r>
            <w:r w:rsidRPr="00032990">
              <w:rPr>
                <w:rFonts w:eastAsia="Times New Roman" w:cs="Times New Roman"/>
                <w:b/>
                <w:sz w:val="24"/>
              </w:rPr>
              <w:t>%)</w:t>
            </w:r>
          </w:p>
        </w:tc>
        <w:tc>
          <w:tcPr>
            <w:tcW w:w="0" w:type="auto"/>
          </w:tcPr>
          <w:p w:rsidR="000E7A2C" w:rsidRPr="00032990" w:rsidRDefault="000E7A2C" w:rsidP="00643314">
            <w:pPr>
              <w:jc w:val="center"/>
              <w:rPr>
                <w:rFonts w:eastAsia="Times New Roman" w:cs="Times New Roman"/>
                <w:b/>
                <w:sz w:val="24"/>
              </w:rPr>
            </w:pPr>
            <w:r w:rsidRPr="00032990">
              <w:rPr>
                <w:rFonts w:eastAsia="Times New Roman" w:cs="Times New Roman"/>
                <w:b/>
                <w:sz w:val="24"/>
              </w:rPr>
              <w:t>Ordered after 2</w:t>
            </w:r>
            <w:r>
              <w:rPr>
                <w:rFonts w:eastAsia="Times New Roman" w:cs="Times New Roman"/>
                <w:b/>
                <w:sz w:val="24"/>
              </w:rPr>
              <w:t>3</w:t>
            </w:r>
            <w:r w:rsidRPr="00032990">
              <w:rPr>
                <w:rFonts w:eastAsia="Times New Roman" w:cs="Times New Roman"/>
                <w:b/>
                <w:sz w:val="24"/>
              </w:rPr>
              <w:t xml:space="preserve"> Dec + max discount</w:t>
            </w:r>
          </w:p>
          <w:p w:rsidR="000E7A2C" w:rsidRPr="00032990" w:rsidRDefault="000E7A2C" w:rsidP="00643314">
            <w:pPr>
              <w:jc w:val="center"/>
              <w:rPr>
                <w:rFonts w:eastAsia="Times New Roman" w:cs="Times New Roman"/>
                <w:b/>
                <w:sz w:val="24"/>
              </w:rPr>
            </w:pPr>
            <w:r w:rsidRPr="00032990">
              <w:rPr>
                <w:rFonts w:eastAsia="Times New Roman" w:cs="Times New Roman"/>
                <w:b/>
                <w:sz w:val="24"/>
              </w:rPr>
              <w:t>(45%)</w:t>
            </w:r>
          </w:p>
        </w:tc>
      </w:tr>
      <w:tr w:rsidR="000E7A2C" w:rsidRPr="00032990" w:rsidTr="00643314">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NHS Price</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£5.25</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£5.25</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£5.25</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£5.25</w:t>
            </w:r>
          </w:p>
        </w:tc>
      </w:tr>
      <w:tr w:rsidR="000E7A2C" w:rsidRPr="00032990" w:rsidTr="00643314">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Dispensing Fee*</w:t>
            </w:r>
          </w:p>
        </w:tc>
        <w:tc>
          <w:tcPr>
            <w:tcW w:w="0" w:type="auto"/>
          </w:tcPr>
          <w:p w:rsidR="000E7A2C" w:rsidRPr="00032990" w:rsidRDefault="000E7A2C" w:rsidP="00643314">
            <w:pPr>
              <w:jc w:val="center"/>
              <w:rPr>
                <w:rFonts w:eastAsia="Times New Roman" w:cs="Times New Roman"/>
                <w:b/>
                <w:sz w:val="24"/>
              </w:rPr>
            </w:pPr>
            <w:r w:rsidRPr="00032990">
              <w:rPr>
                <w:rFonts w:eastAsia="Times New Roman" w:cs="Times New Roman"/>
                <w:sz w:val="24"/>
              </w:rPr>
              <w:t>£2.</w:t>
            </w:r>
            <w:r>
              <w:rPr>
                <w:rFonts w:eastAsia="Times New Roman" w:cs="Times New Roman"/>
                <w:sz w:val="24"/>
              </w:rPr>
              <w:t>405</w:t>
            </w:r>
          </w:p>
        </w:tc>
        <w:tc>
          <w:tcPr>
            <w:tcW w:w="0" w:type="auto"/>
          </w:tcPr>
          <w:p w:rsidR="000E7A2C" w:rsidRPr="00032990" w:rsidRDefault="000E7A2C" w:rsidP="00643314">
            <w:pPr>
              <w:jc w:val="center"/>
              <w:rPr>
                <w:rFonts w:ascii="Arial" w:eastAsia="Times New Roman" w:hAnsi="Arial" w:cs="Times New Roman"/>
                <w:sz w:val="24"/>
                <w:szCs w:val="20"/>
              </w:rPr>
            </w:pPr>
            <w:r w:rsidRPr="00032990">
              <w:rPr>
                <w:rFonts w:eastAsia="Times New Roman" w:cs="Times New Roman"/>
                <w:sz w:val="24"/>
              </w:rPr>
              <w:t>£2.</w:t>
            </w:r>
            <w:r>
              <w:rPr>
                <w:rFonts w:eastAsia="Times New Roman" w:cs="Times New Roman"/>
                <w:sz w:val="24"/>
              </w:rPr>
              <w:t>405</w:t>
            </w:r>
          </w:p>
        </w:tc>
        <w:tc>
          <w:tcPr>
            <w:tcW w:w="0" w:type="auto"/>
          </w:tcPr>
          <w:p w:rsidR="000E7A2C" w:rsidRPr="00032990" w:rsidRDefault="000E7A2C" w:rsidP="00643314">
            <w:pPr>
              <w:jc w:val="center"/>
              <w:rPr>
                <w:rFonts w:ascii="Arial" w:eastAsia="Times New Roman" w:hAnsi="Arial" w:cs="Times New Roman"/>
                <w:sz w:val="24"/>
                <w:szCs w:val="20"/>
              </w:rPr>
            </w:pPr>
            <w:r w:rsidRPr="00032990">
              <w:rPr>
                <w:rFonts w:eastAsia="Times New Roman" w:cs="Times New Roman"/>
                <w:sz w:val="24"/>
              </w:rPr>
              <w:t>£2.</w:t>
            </w:r>
            <w:r>
              <w:rPr>
                <w:rFonts w:eastAsia="Times New Roman" w:cs="Times New Roman"/>
                <w:sz w:val="24"/>
              </w:rPr>
              <w:t>405</w:t>
            </w:r>
          </w:p>
        </w:tc>
        <w:tc>
          <w:tcPr>
            <w:tcW w:w="0" w:type="auto"/>
          </w:tcPr>
          <w:p w:rsidR="000E7A2C" w:rsidRPr="00032990" w:rsidRDefault="000E7A2C" w:rsidP="00643314">
            <w:pPr>
              <w:jc w:val="center"/>
              <w:rPr>
                <w:rFonts w:ascii="Arial" w:eastAsia="Times New Roman" w:hAnsi="Arial" w:cs="Times New Roman"/>
                <w:sz w:val="24"/>
                <w:szCs w:val="20"/>
              </w:rPr>
            </w:pPr>
            <w:r w:rsidRPr="00032990">
              <w:rPr>
                <w:rFonts w:eastAsia="Times New Roman" w:cs="Times New Roman"/>
                <w:sz w:val="24"/>
              </w:rPr>
              <w:t>£2.</w:t>
            </w:r>
            <w:r>
              <w:rPr>
                <w:rFonts w:eastAsia="Times New Roman" w:cs="Times New Roman"/>
                <w:sz w:val="24"/>
              </w:rPr>
              <w:t>405</w:t>
            </w:r>
          </w:p>
        </w:tc>
      </w:tr>
      <w:tr w:rsidR="000E7A2C" w:rsidRPr="00032990" w:rsidTr="00643314">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VAT (20%)</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£1.05</w:t>
            </w:r>
          </w:p>
        </w:tc>
        <w:tc>
          <w:tcPr>
            <w:tcW w:w="0" w:type="auto"/>
          </w:tcPr>
          <w:p w:rsidR="000E7A2C" w:rsidRPr="00032990" w:rsidRDefault="000E7A2C" w:rsidP="00643314">
            <w:pPr>
              <w:jc w:val="center"/>
              <w:rPr>
                <w:rFonts w:ascii="Arial" w:eastAsia="Times New Roman" w:hAnsi="Arial" w:cs="Times New Roman"/>
                <w:sz w:val="24"/>
                <w:szCs w:val="20"/>
              </w:rPr>
            </w:pPr>
            <w:r w:rsidRPr="00032990">
              <w:rPr>
                <w:rFonts w:eastAsia="Times New Roman" w:cs="Times New Roman"/>
                <w:sz w:val="24"/>
              </w:rPr>
              <w:t>£1.05</w:t>
            </w:r>
          </w:p>
        </w:tc>
        <w:tc>
          <w:tcPr>
            <w:tcW w:w="0" w:type="auto"/>
          </w:tcPr>
          <w:p w:rsidR="000E7A2C" w:rsidRPr="00032990" w:rsidRDefault="000E7A2C" w:rsidP="00643314">
            <w:pPr>
              <w:jc w:val="center"/>
              <w:rPr>
                <w:rFonts w:ascii="Arial" w:eastAsia="Times New Roman" w:hAnsi="Arial" w:cs="Times New Roman"/>
                <w:sz w:val="24"/>
                <w:szCs w:val="20"/>
              </w:rPr>
            </w:pPr>
            <w:r w:rsidRPr="00032990">
              <w:rPr>
                <w:rFonts w:eastAsia="Times New Roman" w:cs="Times New Roman"/>
                <w:sz w:val="24"/>
              </w:rPr>
              <w:t>£1.05</w:t>
            </w:r>
          </w:p>
        </w:tc>
        <w:tc>
          <w:tcPr>
            <w:tcW w:w="0" w:type="auto"/>
          </w:tcPr>
          <w:p w:rsidR="000E7A2C" w:rsidRPr="00032990" w:rsidRDefault="000E7A2C" w:rsidP="00643314">
            <w:pPr>
              <w:jc w:val="center"/>
              <w:rPr>
                <w:rFonts w:ascii="Arial" w:eastAsia="Times New Roman" w:hAnsi="Arial" w:cs="Times New Roman"/>
                <w:sz w:val="24"/>
                <w:szCs w:val="20"/>
              </w:rPr>
            </w:pPr>
            <w:r w:rsidRPr="00032990">
              <w:rPr>
                <w:rFonts w:eastAsia="Times New Roman" w:cs="Times New Roman"/>
                <w:sz w:val="24"/>
              </w:rPr>
              <w:t>£1.05</w:t>
            </w:r>
          </w:p>
        </w:tc>
      </w:tr>
      <w:tr w:rsidR="000E7A2C" w:rsidRPr="00032990" w:rsidTr="00643314">
        <w:tc>
          <w:tcPr>
            <w:tcW w:w="0" w:type="auto"/>
          </w:tcPr>
          <w:p w:rsidR="000E7A2C" w:rsidRPr="00032990" w:rsidRDefault="000E7A2C" w:rsidP="00643314">
            <w:pPr>
              <w:jc w:val="center"/>
              <w:rPr>
                <w:rFonts w:eastAsia="Times New Roman" w:cs="Times New Roman"/>
                <w:b/>
                <w:sz w:val="28"/>
              </w:rPr>
            </w:pPr>
            <w:r w:rsidRPr="00032990">
              <w:rPr>
                <w:rFonts w:eastAsia="Times New Roman" w:cs="Times New Roman"/>
                <w:b/>
                <w:sz w:val="28"/>
              </w:rPr>
              <w:t>Total NHS Reimbursement</w:t>
            </w:r>
          </w:p>
        </w:tc>
        <w:tc>
          <w:tcPr>
            <w:tcW w:w="0" w:type="auto"/>
          </w:tcPr>
          <w:p w:rsidR="000E7A2C" w:rsidRPr="00032990" w:rsidRDefault="000E7A2C" w:rsidP="00643314">
            <w:pPr>
              <w:jc w:val="center"/>
              <w:rPr>
                <w:rFonts w:eastAsia="Times New Roman" w:cs="Times New Roman"/>
                <w:b/>
                <w:sz w:val="28"/>
              </w:rPr>
            </w:pPr>
            <w:r w:rsidRPr="00032990">
              <w:rPr>
                <w:rFonts w:eastAsia="Times New Roman" w:cs="Times New Roman"/>
                <w:b/>
                <w:sz w:val="28"/>
              </w:rPr>
              <w:t>£8.</w:t>
            </w:r>
            <w:r>
              <w:rPr>
                <w:rFonts w:eastAsia="Times New Roman" w:cs="Times New Roman"/>
                <w:b/>
                <w:sz w:val="28"/>
              </w:rPr>
              <w:t>71</w:t>
            </w:r>
          </w:p>
        </w:tc>
        <w:tc>
          <w:tcPr>
            <w:tcW w:w="0" w:type="auto"/>
          </w:tcPr>
          <w:p w:rsidR="000E7A2C" w:rsidRPr="00032990" w:rsidRDefault="000E7A2C" w:rsidP="00643314">
            <w:pPr>
              <w:jc w:val="center"/>
              <w:rPr>
                <w:rFonts w:ascii="Arial" w:eastAsia="Times New Roman" w:hAnsi="Arial" w:cs="Times New Roman"/>
                <w:b/>
                <w:sz w:val="28"/>
                <w:szCs w:val="20"/>
              </w:rPr>
            </w:pPr>
            <w:r w:rsidRPr="00032990">
              <w:rPr>
                <w:rFonts w:eastAsia="Times New Roman" w:cs="Times New Roman"/>
                <w:b/>
                <w:sz w:val="28"/>
              </w:rPr>
              <w:t>£8.</w:t>
            </w:r>
            <w:r>
              <w:rPr>
                <w:rFonts w:eastAsia="Times New Roman" w:cs="Times New Roman"/>
                <w:b/>
                <w:sz w:val="28"/>
              </w:rPr>
              <w:t>71</w:t>
            </w:r>
          </w:p>
        </w:tc>
        <w:tc>
          <w:tcPr>
            <w:tcW w:w="0" w:type="auto"/>
          </w:tcPr>
          <w:p w:rsidR="000E7A2C" w:rsidRPr="00032990" w:rsidRDefault="000E7A2C" w:rsidP="00643314">
            <w:pPr>
              <w:jc w:val="center"/>
              <w:rPr>
                <w:rFonts w:ascii="Arial" w:eastAsia="Times New Roman" w:hAnsi="Arial" w:cs="Times New Roman"/>
                <w:b/>
                <w:sz w:val="28"/>
                <w:szCs w:val="20"/>
              </w:rPr>
            </w:pPr>
            <w:r w:rsidRPr="00032990">
              <w:rPr>
                <w:rFonts w:eastAsia="Times New Roman" w:cs="Times New Roman"/>
                <w:b/>
                <w:sz w:val="28"/>
              </w:rPr>
              <w:t>£8.</w:t>
            </w:r>
            <w:r>
              <w:rPr>
                <w:rFonts w:eastAsia="Times New Roman" w:cs="Times New Roman"/>
                <w:b/>
                <w:sz w:val="28"/>
              </w:rPr>
              <w:t>71</w:t>
            </w:r>
          </w:p>
        </w:tc>
        <w:tc>
          <w:tcPr>
            <w:tcW w:w="0" w:type="auto"/>
          </w:tcPr>
          <w:p w:rsidR="000E7A2C" w:rsidRPr="00032990" w:rsidRDefault="000E7A2C" w:rsidP="00643314">
            <w:pPr>
              <w:jc w:val="center"/>
              <w:rPr>
                <w:rFonts w:ascii="Arial" w:eastAsia="Times New Roman" w:hAnsi="Arial" w:cs="Times New Roman"/>
                <w:b/>
                <w:sz w:val="28"/>
                <w:szCs w:val="20"/>
              </w:rPr>
            </w:pPr>
            <w:r>
              <w:rPr>
                <w:rFonts w:eastAsia="Times New Roman" w:cs="Times New Roman"/>
                <w:b/>
                <w:sz w:val="28"/>
              </w:rPr>
              <w:t>£8.71</w:t>
            </w:r>
          </w:p>
        </w:tc>
      </w:tr>
      <w:tr w:rsidR="000E7A2C" w:rsidRPr="00032990" w:rsidTr="00643314">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Actual cost after discount</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£2.</w:t>
            </w:r>
            <w:r>
              <w:rPr>
                <w:rFonts w:eastAsia="Times New Roman" w:cs="Times New Roman"/>
                <w:sz w:val="24"/>
              </w:rPr>
              <w:t>94</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£2.78</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w:t>
            </w:r>
            <w:r>
              <w:rPr>
                <w:rFonts w:eastAsia="Times New Roman" w:cs="Times New Roman"/>
                <w:sz w:val="24"/>
              </w:rPr>
              <w:t>2.99</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£2.89</w:t>
            </w:r>
          </w:p>
        </w:tc>
      </w:tr>
      <w:tr w:rsidR="000E7A2C" w:rsidRPr="00032990" w:rsidTr="00643314">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VAT (20%)</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£0.</w:t>
            </w:r>
            <w:r>
              <w:rPr>
                <w:rFonts w:eastAsia="Times New Roman" w:cs="Times New Roman"/>
                <w:sz w:val="24"/>
              </w:rPr>
              <w:t>59</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£0.56</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£0.</w:t>
            </w:r>
            <w:r>
              <w:rPr>
                <w:rFonts w:eastAsia="Times New Roman" w:cs="Times New Roman"/>
                <w:sz w:val="24"/>
              </w:rPr>
              <w:t>60</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£0.58</w:t>
            </w:r>
          </w:p>
        </w:tc>
      </w:tr>
      <w:tr w:rsidR="000E7A2C" w:rsidRPr="00032990" w:rsidTr="00643314">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Total cost to practice</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£3.5</w:t>
            </w:r>
            <w:r>
              <w:rPr>
                <w:rFonts w:eastAsia="Times New Roman" w:cs="Times New Roman"/>
                <w:sz w:val="24"/>
              </w:rPr>
              <w:t>3</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£3.34</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£3.</w:t>
            </w:r>
            <w:r>
              <w:rPr>
                <w:rFonts w:eastAsia="Times New Roman" w:cs="Times New Roman"/>
                <w:sz w:val="24"/>
              </w:rPr>
              <w:t>59</w:t>
            </w:r>
          </w:p>
        </w:tc>
        <w:tc>
          <w:tcPr>
            <w:tcW w:w="0" w:type="auto"/>
          </w:tcPr>
          <w:p w:rsidR="000E7A2C" w:rsidRPr="00032990" w:rsidRDefault="000E7A2C" w:rsidP="00643314">
            <w:pPr>
              <w:jc w:val="center"/>
              <w:rPr>
                <w:rFonts w:eastAsia="Times New Roman" w:cs="Times New Roman"/>
                <w:sz w:val="24"/>
              </w:rPr>
            </w:pPr>
            <w:r w:rsidRPr="00032990">
              <w:rPr>
                <w:rFonts w:eastAsia="Times New Roman" w:cs="Times New Roman"/>
                <w:sz w:val="24"/>
              </w:rPr>
              <w:t>£3.47</w:t>
            </w:r>
          </w:p>
        </w:tc>
      </w:tr>
      <w:tr w:rsidR="000E7A2C" w:rsidRPr="00032990" w:rsidTr="00643314">
        <w:tc>
          <w:tcPr>
            <w:tcW w:w="0" w:type="auto"/>
          </w:tcPr>
          <w:p w:rsidR="000E7A2C" w:rsidRPr="00032990" w:rsidRDefault="000E7A2C" w:rsidP="00643314">
            <w:pPr>
              <w:jc w:val="center"/>
              <w:rPr>
                <w:rFonts w:eastAsia="Times New Roman" w:cs="Times New Roman"/>
                <w:b/>
                <w:sz w:val="28"/>
              </w:rPr>
            </w:pPr>
            <w:r w:rsidRPr="00032990">
              <w:rPr>
                <w:rFonts w:eastAsia="Times New Roman" w:cs="Times New Roman"/>
                <w:b/>
                <w:sz w:val="28"/>
              </w:rPr>
              <w:t>Total Profit Per Dose (PPD)</w:t>
            </w:r>
          </w:p>
        </w:tc>
        <w:tc>
          <w:tcPr>
            <w:tcW w:w="0" w:type="auto"/>
          </w:tcPr>
          <w:p w:rsidR="000E7A2C" w:rsidRPr="00032990" w:rsidRDefault="000E7A2C" w:rsidP="00643314">
            <w:pPr>
              <w:jc w:val="center"/>
              <w:rPr>
                <w:rFonts w:eastAsia="Times New Roman" w:cs="Times New Roman"/>
                <w:b/>
                <w:sz w:val="28"/>
              </w:rPr>
            </w:pPr>
            <w:r w:rsidRPr="00032990">
              <w:rPr>
                <w:rFonts w:eastAsia="Times New Roman" w:cs="Times New Roman"/>
                <w:b/>
                <w:sz w:val="28"/>
              </w:rPr>
              <w:t>£</w:t>
            </w:r>
            <w:r>
              <w:rPr>
                <w:rFonts w:eastAsia="Times New Roman" w:cs="Times New Roman"/>
                <w:b/>
                <w:sz w:val="28"/>
              </w:rPr>
              <w:t>5.18</w:t>
            </w:r>
          </w:p>
        </w:tc>
        <w:tc>
          <w:tcPr>
            <w:tcW w:w="0" w:type="auto"/>
          </w:tcPr>
          <w:p w:rsidR="000E7A2C" w:rsidRPr="00032990" w:rsidRDefault="000E7A2C" w:rsidP="00643314">
            <w:pPr>
              <w:jc w:val="center"/>
              <w:rPr>
                <w:rFonts w:eastAsia="Times New Roman" w:cs="Times New Roman"/>
                <w:b/>
                <w:sz w:val="28"/>
              </w:rPr>
            </w:pPr>
            <w:r w:rsidRPr="00032990">
              <w:rPr>
                <w:rFonts w:eastAsia="Times New Roman" w:cs="Times New Roman"/>
                <w:b/>
                <w:sz w:val="28"/>
              </w:rPr>
              <w:t>£5.</w:t>
            </w:r>
            <w:r>
              <w:rPr>
                <w:rFonts w:eastAsia="Times New Roman" w:cs="Times New Roman"/>
                <w:b/>
                <w:sz w:val="28"/>
              </w:rPr>
              <w:t>37</w:t>
            </w:r>
          </w:p>
        </w:tc>
        <w:tc>
          <w:tcPr>
            <w:tcW w:w="0" w:type="auto"/>
          </w:tcPr>
          <w:p w:rsidR="000E7A2C" w:rsidRPr="00032990" w:rsidRDefault="000E7A2C" w:rsidP="00643314">
            <w:pPr>
              <w:jc w:val="center"/>
              <w:rPr>
                <w:rFonts w:eastAsia="Times New Roman" w:cs="Times New Roman"/>
                <w:b/>
                <w:sz w:val="28"/>
              </w:rPr>
            </w:pPr>
            <w:r w:rsidRPr="00032990">
              <w:rPr>
                <w:rFonts w:eastAsia="Times New Roman" w:cs="Times New Roman"/>
                <w:b/>
                <w:sz w:val="28"/>
              </w:rPr>
              <w:t>£</w:t>
            </w:r>
            <w:r>
              <w:rPr>
                <w:rFonts w:eastAsia="Times New Roman" w:cs="Times New Roman"/>
                <w:b/>
                <w:sz w:val="28"/>
              </w:rPr>
              <w:t>5.12</w:t>
            </w:r>
          </w:p>
        </w:tc>
        <w:tc>
          <w:tcPr>
            <w:tcW w:w="0" w:type="auto"/>
          </w:tcPr>
          <w:p w:rsidR="000E7A2C" w:rsidRPr="00032990" w:rsidRDefault="000E7A2C" w:rsidP="00643314">
            <w:pPr>
              <w:jc w:val="center"/>
              <w:rPr>
                <w:rFonts w:eastAsia="Times New Roman" w:cs="Times New Roman"/>
                <w:b/>
                <w:sz w:val="28"/>
              </w:rPr>
            </w:pPr>
            <w:r w:rsidRPr="00032990">
              <w:rPr>
                <w:rFonts w:eastAsia="Times New Roman" w:cs="Times New Roman"/>
                <w:b/>
                <w:sz w:val="28"/>
              </w:rPr>
              <w:t>£5.</w:t>
            </w:r>
            <w:r>
              <w:rPr>
                <w:rFonts w:eastAsia="Times New Roman" w:cs="Times New Roman"/>
                <w:b/>
                <w:sz w:val="28"/>
              </w:rPr>
              <w:t>24</w:t>
            </w:r>
          </w:p>
        </w:tc>
      </w:tr>
    </w:tbl>
    <w:p w:rsidR="000E7A2C" w:rsidRPr="00032990" w:rsidRDefault="000E7A2C" w:rsidP="000E7A2C">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2016 (see separate table).</w:t>
      </w:r>
    </w:p>
    <w:p w:rsidR="000E7A2C" w:rsidRPr="00032990" w:rsidRDefault="000E7A2C" w:rsidP="000E7A2C">
      <w:pPr>
        <w:spacing w:after="0" w:line="240" w:lineRule="auto"/>
        <w:rPr>
          <w:rFonts w:eastAsia="Times New Roman" w:cs="Times New Roman"/>
        </w:rPr>
      </w:pPr>
    </w:p>
    <w:p w:rsidR="000E7A2C" w:rsidRPr="00032990" w:rsidRDefault="000E7A2C" w:rsidP="000E7A2C">
      <w:pPr>
        <w:spacing w:after="0" w:line="240" w:lineRule="auto"/>
        <w:rPr>
          <w:rFonts w:eastAsia="Times New Roman" w:cs="Times New Roman"/>
          <w:b/>
        </w:rPr>
      </w:pPr>
      <w:r w:rsidRPr="00032990">
        <w:rPr>
          <w:rFonts w:eastAsia="Times New Roman" w:cs="Times New Roman"/>
          <w:b/>
        </w:rPr>
        <w:t>The terms are as per the generic vaccine above.</w:t>
      </w:r>
    </w:p>
    <w:p w:rsidR="000E7A2C" w:rsidRPr="00032990" w:rsidRDefault="000E7A2C" w:rsidP="000E7A2C">
      <w:pPr>
        <w:spacing w:after="0" w:line="240" w:lineRule="auto"/>
        <w:rPr>
          <w:rFonts w:eastAsia="Times New Roman" w:cs="Times New Roman"/>
        </w:rPr>
      </w:pPr>
    </w:p>
    <w:p w:rsidR="000E7A2C" w:rsidRPr="00032990" w:rsidRDefault="000E7A2C" w:rsidP="000E7A2C">
      <w:pPr>
        <w:spacing w:after="0" w:line="240" w:lineRule="auto"/>
        <w:rPr>
          <w:rFonts w:eastAsia="Times New Roman" w:cstheme="minorHAnsi"/>
          <w:b/>
          <w:sz w:val="28"/>
          <w:szCs w:val="20"/>
        </w:rPr>
      </w:pPr>
      <w:r w:rsidRPr="00032990">
        <w:rPr>
          <w:rFonts w:eastAsia="Times New Roman" w:cstheme="minorHAnsi"/>
          <w:b/>
          <w:sz w:val="28"/>
          <w:szCs w:val="20"/>
        </w:rPr>
        <w:t>Contact Us</w:t>
      </w:r>
    </w:p>
    <w:p w:rsidR="000E7A2C" w:rsidRPr="00032990" w:rsidRDefault="000E7A2C" w:rsidP="000E7A2C">
      <w:pPr>
        <w:spacing w:after="0" w:line="240" w:lineRule="auto"/>
        <w:rPr>
          <w:rFonts w:eastAsia="Times New Roman" w:cstheme="minorHAnsi"/>
          <w:b/>
          <w:sz w:val="28"/>
          <w:szCs w:val="20"/>
        </w:rPr>
      </w:pPr>
    </w:p>
    <w:p w:rsidR="000E7A2C" w:rsidRPr="00032990" w:rsidRDefault="000E7A2C" w:rsidP="000E7A2C">
      <w:pPr>
        <w:spacing w:after="0" w:line="240" w:lineRule="auto"/>
        <w:rPr>
          <w:rFonts w:eastAsia="Times New Roman" w:cstheme="minorHAnsi"/>
          <w:color w:val="0563C1" w:themeColor="hyperlink"/>
          <w:sz w:val="24"/>
          <w:szCs w:val="24"/>
          <w:u w:val="single"/>
        </w:rPr>
      </w:pPr>
      <w:r w:rsidRPr="00032990">
        <w:rPr>
          <w:rFonts w:eastAsia="Times New Roman" w:cstheme="minorHAnsi"/>
          <w:sz w:val="24"/>
          <w:szCs w:val="24"/>
        </w:rPr>
        <w:t xml:space="preserve">Tel: 0800 089 4033; Email: </w:t>
      </w:r>
      <w:hyperlink r:id="rId8" w:history="1">
        <w:r w:rsidRPr="00032990">
          <w:rPr>
            <w:rFonts w:eastAsia="Times New Roman" w:cstheme="minorHAnsi"/>
            <w:color w:val="0563C1" w:themeColor="hyperlink"/>
            <w:sz w:val="24"/>
            <w:szCs w:val="24"/>
            <w:u w:val="single"/>
          </w:rPr>
          <w:t>vaccinesuk@pfizer.com</w:t>
        </w:r>
      </w:hyperlink>
    </w:p>
    <w:p w:rsidR="000E7A2C" w:rsidRDefault="000E7A2C" w:rsidP="000E7A2C">
      <w:pPr>
        <w:pStyle w:val="NoSpacing"/>
        <w:rPr>
          <w:b/>
        </w:rPr>
      </w:pPr>
    </w:p>
    <w:p w:rsidR="000E7A2C" w:rsidRDefault="000E7A2C" w:rsidP="000E7A2C">
      <w:pPr>
        <w:pStyle w:val="NoSpacing"/>
        <w:rPr>
          <w:b/>
        </w:rPr>
      </w:pPr>
    </w:p>
    <w:p w:rsidR="000E7A2C" w:rsidRDefault="000E7A2C" w:rsidP="000E7A2C">
      <w:pPr>
        <w:pStyle w:val="NoSpacing"/>
        <w:jc w:val="center"/>
        <w:rPr>
          <w:b/>
          <w:color w:val="7030A0"/>
        </w:rPr>
      </w:pPr>
    </w:p>
    <w:p w:rsidR="000E7A2C" w:rsidRDefault="000E7A2C" w:rsidP="000E7A2C">
      <w:pPr>
        <w:pStyle w:val="NoSpacing"/>
        <w:jc w:val="center"/>
        <w:rPr>
          <w:b/>
          <w:color w:val="7030A0"/>
          <w:sz w:val="40"/>
        </w:rPr>
      </w:pPr>
    </w:p>
    <w:p w:rsidR="000E7A2C" w:rsidRDefault="000E7A2C" w:rsidP="000E7A2C">
      <w:pPr>
        <w:pStyle w:val="NoSpacing"/>
        <w:jc w:val="center"/>
        <w:rPr>
          <w:b/>
          <w:color w:val="7030A0"/>
          <w:sz w:val="40"/>
        </w:rPr>
      </w:pPr>
    </w:p>
    <w:p w:rsidR="000E7A2C" w:rsidRDefault="000E7A2C" w:rsidP="000E7A2C">
      <w:pPr>
        <w:pStyle w:val="NoSpacing"/>
        <w:jc w:val="center"/>
        <w:rPr>
          <w:b/>
          <w:color w:val="7030A0"/>
          <w:sz w:val="40"/>
        </w:rPr>
      </w:pPr>
    </w:p>
    <w:p w:rsidR="000E7A2C" w:rsidRDefault="000E7A2C" w:rsidP="000E7A2C">
      <w:pPr>
        <w:pStyle w:val="NoSpacing"/>
        <w:jc w:val="center"/>
        <w:rPr>
          <w:b/>
          <w:color w:val="7030A0"/>
          <w:sz w:val="40"/>
        </w:rPr>
      </w:pPr>
    </w:p>
    <w:p w:rsidR="000E7A2C" w:rsidRDefault="000E7A2C" w:rsidP="000E7A2C">
      <w:pPr>
        <w:pStyle w:val="NoSpacing"/>
        <w:jc w:val="center"/>
        <w:rPr>
          <w:b/>
          <w:color w:val="7030A0"/>
          <w:sz w:val="40"/>
        </w:rPr>
      </w:pPr>
    </w:p>
    <w:p w:rsidR="000E7A2C" w:rsidRDefault="000E7A2C" w:rsidP="000E7A2C">
      <w:pPr>
        <w:pStyle w:val="NoSpacing"/>
        <w:jc w:val="center"/>
        <w:rPr>
          <w:b/>
          <w:color w:val="7030A0"/>
          <w:sz w:val="40"/>
        </w:rPr>
      </w:pPr>
    </w:p>
    <w:p w:rsidR="000E7A2C" w:rsidRDefault="000E7A2C" w:rsidP="000E7A2C">
      <w:pPr>
        <w:pStyle w:val="NoSpacing"/>
        <w:jc w:val="center"/>
        <w:rPr>
          <w:b/>
          <w:color w:val="7030A0"/>
          <w:sz w:val="40"/>
        </w:rPr>
      </w:pPr>
    </w:p>
    <w:p w:rsidR="000E7A2C" w:rsidRDefault="000E7A2C" w:rsidP="000E7A2C">
      <w:pPr>
        <w:pStyle w:val="NoSpacing"/>
        <w:jc w:val="center"/>
        <w:rPr>
          <w:b/>
          <w:color w:val="7030A0"/>
          <w:sz w:val="40"/>
        </w:rPr>
      </w:pPr>
    </w:p>
    <w:p w:rsidR="000E7A2C" w:rsidRDefault="000E7A2C" w:rsidP="000E7A2C">
      <w:pPr>
        <w:pStyle w:val="NoSpacing"/>
        <w:jc w:val="center"/>
        <w:rPr>
          <w:b/>
          <w:color w:val="7030A0"/>
          <w:sz w:val="40"/>
        </w:rPr>
      </w:pPr>
    </w:p>
    <w:p w:rsidR="00D66552" w:rsidRPr="00253888" w:rsidRDefault="00D66552" w:rsidP="00D66552">
      <w:pPr>
        <w:pStyle w:val="NoSpacing"/>
        <w:jc w:val="center"/>
        <w:rPr>
          <w:b/>
          <w:color w:val="7030A0"/>
          <w:sz w:val="40"/>
        </w:rPr>
      </w:pPr>
      <w:r w:rsidRPr="00253888">
        <w:rPr>
          <w:b/>
          <w:color w:val="7030A0"/>
          <w:sz w:val="40"/>
        </w:rPr>
        <w:lastRenderedPageBreak/>
        <w:t>MASTA</w:t>
      </w:r>
    </w:p>
    <w:p w:rsidR="00D66552" w:rsidRDefault="00D66552" w:rsidP="00D66552">
      <w:pPr>
        <w:pStyle w:val="NoSpacing"/>
      </w:pPr>
    </w:p>
    <w:p w:rsidR="00D66552" w:rsidRPr="002B19C3" w:rsidRDefault="00D66552" w:rsidP="00D66552">
      <w:pPr>
        <w:jc w:val="center"/>
        <w:rPr>
          <w:rFonts w:ascii="Calibri" w:hAnsi="Calibri"/>
          <w:sz w:val="32"/>
          <w:szCs w:val="32"/>
        </w:rPr>
      </w:pPr>
      <w:r w:rsidRPr="002B19C3">
        <w:rPr>
          <w:rFonts w:ascii="Calibri" w:hAnsi="Calibri"/>
          <w:b/>
          <w:sz w:val="32"/>
          <w:szCs w:val="32"/>
        </w:rPr>
        <w:t>A choice of vaccines</w:t>
      </w:r>
      <w:r w:rsidRPr="002B19C3">
        <w:rPr>
          <w:rFonts w:ascii="Calibri" w:hAnsi="Calibri"/>
          <w:sz w:val="32"/>
          <w:szCs w:val="32"/>
        </w:rPr>
        <w:t>+</w:t>
      </w:r>
    </w:p>
    <w:tbl>
      <w:tblPr>
        <w:tblStyle w:val="TableGrid"/>
        <w:tblW w:w="0" w:type="auto"/>
        <w:tblLook w:val="04A0" w:firstRow="1" w:lastRow="0" w:firstColumn="1" w:lastColumn="0" w:noHBand="0" w:noVBand="1"/>
      </w:tblPr>
      <w:tblGrid>
        <w:gridCol w:w="3828"/>
        <w:gridCol w:w="1103"/>
        <w:gridCol w:w="1525"/>
      </w:tblGrid>
      <w:tr w:rsidR="00D66552" w:rsidTr="00ED5BD2">
        <w:tc>
          <w:tcPr>
            <w:tcW w:w="0" w:type="auto"/>
          </w:tcPr>
          <w:p w:rsidR="00D66552" w:rsidRPr="00581738" w:rsidRDefault="00D66552" w:rsidP="00ED5BD2">
            <w:pPr>
              <w:pStyle w:val="NoSpacing"/>
              <w:rPr>
                <w:rFonts w:ascii="Calibri" w:hAnsi="Calibri"/>
                <w:sz w:val="24"/>
                <w:szCs w:val="24"/>
              </w:rPr>
            </w:pPr>
          </w:p>
        </w:tc>
        <w:tc>
          <w:tcPr>
            <w:tcW w:w="0" w:type="auto"/>
          </w:tcPr>
          <w:p w:rsidR="00D66552" w:rsidRPr="00581738" w:rsidRDefault="00D66552" w:rsidP="00ED5BD2">
            <w:pPr>
              <w:pStyle w:val="NoSpacing"/>
              <w:jc w:val="center"/>
              <w:rPr>
                <w:rFonts w:ascii="Calibri" w:hAnsi="Calibri"/>
                <w:b/>
                <w:sz w:val="24"/>
                <w:szCs w:val="24"/>
              </w:rPr>
            </w:pPr>
            <w:r w:rsidRPr="00581738">
              <w:rPr>
                <w:rFonts w:ascii="Calibri" w:hAnsi="Calibri"/>
                <w:b/>
                <w:sz w:val="24"/>
                <w:szCs w:val="24"/>
              </w:rPr>
              <w:t>Trivalent</w:t>
            </w:r>
          </w:p>
        </w:tc>
        <w:tc>
          <w:tcPr>
            <w:tcW w:w="0" w:type="auto"/>
          </w:tcPr>
          <w:p w:rsidR="00D66552" w:rsidRPr="00581738" w:rsidRDefault="00D66552" w:rsidP="00ED5BD2">
            <w:pPr>
              <w:pStyle w:val="NoSpacing"/>
              <w:jc w:val="center"/>
              <w:rPr>
                <w:rFonts w:ascii="Calibri" w:hAnsi="Calibri"/>
                <w:b/>
                <w:sz w:val="24"/>
                <w:szCs w:val="24"/>
              </w:rPr>
            </w:pPr>
            <w:r w:rsidRPr="00581738">
              <w:rPr>
                <w:rFonts w:ascii="Calibri" w:hAnsi="Calibri"/>
                <w:b/>
                <w:sz w:val="24"/>
                <w:szCs w:val="24"/>
              </w:rPr>
              <w:t>Quadrivalent</w:t>
            </w:r>
          </w:p>
        </w:tc>
      </w:tr>
      <w:tr w:rsidR="00D66552" w:rsidTr="00ED5BD2">
        <w:tc>
          <w:tcPr>
            <w:tcW w:w="0" w:type="auto"/>
          </w:tcPr>
          <w:p w:rsidR="00D66552" w:rsidRPr="00581738" w:rsidRDefault="00D66552" w:rsidP="00ED5BD2">
            <w:pPr>
              <w:pStyle w:val="NoSpacing"/>
              <w:rPr>
                <w:rFonts w:ascii="Calibri" w:hAnsi="Calibri"/>
                <w:sz w:val="24"/>
                <w:szCs w:val="24"/>
              </w:rPr>
            </w:pPr>
            <w:r w:rsidRPr="00581738">
              <w:rPr>
                <w:rFonts w:ascii="Calibri" w:hAnsi="Calibri"/>
                <w:sz w:val="24"/>
                <w:szCs w:val="24"/>
              </w:rPr>
              <w:t>NHS Price</w:t>
            </w:r>
          </w:p>
        </w:tc>
        <w:tc>
          <w:tcPr>
            <w:tcW w:w="0" w:type="auto"/>
          </w:tcPr>
          <w:p w:rsidR="00D66552" w:rsidRPr="00581738" w:rsidRDefault="00D66552" w:rsidP="00ED5BD2">
            <w:pPr>
              <w:pStyle w:val="NoSpacing"/>
              <w:jc w:val="center"/>
              <w:rPr>
                <w:rFonts w:ascii="Calibri" w:hAnsi="Calibri"/>
                <w:sz w:val="24"/>
                <w:szCs w:val="24"/>
              </w:rPr>
            </w:pPr>
            <w:r w:rsidRPr="00581738">
              <w:rPr>
                <w:rFonts w:ascii="Calibri" w:hAnsi="Calibri"/>
                <w:sz w:val="24"/>
                <w:szCs w:val="24"/>
              </w:rPr>
              <w:t>£6.59</w:t>
            </w:r>
          </w:p>
        </w:tc>
        <w:tc>
          <w:tcPr>
            <w:tcW w:w="0" w:type="auto"/>
          </w:tcPr>
          <w:p w:rsidR="00D66552" w:rsidRPr="00581738" w:rsidRDefault="00D66552" w:rsidP="00ED5BD2">
            <w:pPr>
              <w:pStyle w:val="NoSpacing"/>
              <w:jc w:val="center"/>
              <w:rPr>
                <w:rFonts w:ascii="Calibri" w:hAnsi="Calibri"/>
                <w:sz w:val="24"/>
                <w:szCs w:val="24"/>
              </w:rPr>
            </w:pPr>
            <w:r w:rsidRPr="00581738">
              <w:rPr>
                <w:rFonts w:ascii="Calibri" w:hAnsi="Calibri"/>
                <w:sz w:val="24"/>
                <w:szCs w:val="24"/>
              </w:rPr>
              <w:t>£8.00</w:t>
            </w:r>
          </w:p>
        </w:tc>
      </w:tr>
      <w:tr w:rsidR="00D66552" w:rsidTr="00ED5BD2">
        <w:tc>
          <w:tcPr>
            <w:tcW w:w="0" w:type="auto"/>
          </w:tcPr>
          <w:p w:rsidR="00D66552" w:rsidRPr="00581738" w:rsidRDefault="00D66552" w:rsidP="00ED5BD2">
            <w:pPr>
              <w:pStyle w:val="NoSpacing"/>
              <w:rPr>
                <w:rFonts w:ascii="Calibri" w:hAnsi="Calibri"/>
                <w:sz w:val="24"/>
                <w:szCs w:val="24"/>
              </w:rPr>
            </w:pPr>
            <w:r w:rsidRPr="00581738">
              <w:rPr>
                <w:rFonts w:ascii="Calibri" w:hAnsi="Calibri"/>
                <w:sz w:val="24"/>
                <w:szCs w:val="24"/>
              </w:rPr>
              <w:t>Dispensing fee*</w:t>
            </w:r>
          </w:p>
        </w:tc>
        <w:tc>
          <w:tcPr>
            <w:tcW w:w="0" w:type="auto"/>
          </w:tcPr>
          <w:p w:rsidR="00D66552" w:rsidRPr="00581738" w:rsidRDefault="00D66552" w:rsidP="00ED5BD2">
            <w:pPr>
              <w:pStyle w:val="NoSpacing"/>
              <w:jc w:val="center"/>
              <w:rPr>
                <w:rFonts w:ascii="Calibri" w:hAnsi="Calibri"/>
                <w:sz w:val="24"/>
                <w:szCs w:val="24"/>
              </w:rPr>
            </w:pPr>
            <w:r w:rsidRPr="00581738">
              <w:rPr>
                <w:rFonts w:ascii="Calibri" w:hAnsi="Calibri"/>
                <w:sz w:val="24"/>
                <w:szCs w:val="24"/>
              </w:rPr>
              <w:t>£2.405</w:t>
            </w:r>
          </w:p>
        </w:tc>
        <w:tc>
          <w:tcPr>
            <w:tcW w:w="0" w:type="auto"/>
          </w:tcPr>
          <w:p w:rsidR="00D66552" w:rsidRPr="00581738" w:rsidRDefault="00D66552" w:rsidP="00ED5BD2">
            <w:pPr>
              <w:pStyle w:val="NoSpacing"/>
              <w:jc w:val="center"/>
              <w:rPr>
                <w:rFonts w:ascii="Calibri" w:hAnsi="Calibri"/>
                <w:sz w:val="24"/>
                <w:szCs w:val="24"/>
              </w:rPr>
            </w:pPr>
            <w:r w:rsidRPr="00581738">
              <w:rPr>
                <w:rFonts w:ascii="Calibri" w:hAnsi="Calibri"/>
                <w:sz w:val="24"/>
                <w:szCs w:val="24"/>
              </w:rPr>
              <w:t>£2.405</w:t>
            </w:r>
          </w:p>
        </w:tc>
      </w:tr>
      <w:tr w:rsidR="00D66552" w:rsidTr="00ED5BD2">
        <w:tc>
          <w:tcPr>
            <w:tcW w:w="0" w:type="auto"/>
          </w:tcPr>
          <w:p w:rsidR="00D66552" w:rsidRPr="00581738" w:rsidRDefault="00D66552" w:rsidP="00ED5BD2">
            <w:pPr>
              <w:pStyle w:val="NoSpacing"/>
              <w:rPr>
                <w:rFonts w:ascii="Calibri" w:hAnsi="Calibri"/>
                <w:sz w:val="24"/>
                <w:szCs w:val="24"/>
              </w:rPr>
            </w:pPr>
            <w:r w:rsidRPr="00581738">
              <w:rPr>
                <w:rFonts w:ascii="Calibri" w:hAnsi="Calibri"/>
                <w:sz w:val="24"/>
                <w:szCs w:val="24"/>
              </w:rPr>
              <w:t>VAT (20%)</w:t>
            </w:r>
          </w:p>
        </w:tc>
        <w:tc>
          <w:tcPr>
            <w:tcW w:w="0" w:type="auto"/>
          </w:tcPr>
          <w:p w:rsidR="00D66552" w:rsidRPr="00581738" w:rsidRDefault="00D66552" w:rsidP="00ED5BD2">
            <w:pPr>
              <w:pStyle w:val="NoSpacing"/>
              <w:jc w:val="center"/>
              <w:rPr>
                <w:rFonts w:ascii="Calibri" w:hAnsi="Calibri"/>
                <w:sz w:val="24"/>
                <w:szCs w:val="24"/>
              </w:rPr>
            </w:pPr>
            <w:r w:rsidRPr="00581738">
              <w:rPr>
                <w:rFonts w:ascii="Calibri" w:hAnsi="Calibri"/>
                <w:sz w:val="24"/>
                <w:szCs w:val="24"/>
              </w:rPr>
              <w:t>£1.32</w:t>
            </w:r>
          </w:p>
        </w:tc>
        <w:tc>
          <w:tcPr>
            <w:tcW w:w="0" w:type="auto"/>
          </w:tcPr>
          <w:p w:rsidR="00D66552" w:rsidRPr="00581738" w:rsidRDefault="00D66552" w:rsidP="00ED5BD2">
            <w:pPr>
              <w:pStyle w:val="NoSpacing"/>
              <w:jc w:val="center"/>
              <w:rPr>
                <w:rFonts w:ascii="Calibri" w:hAnsi="Calibri"/>
                <w:sz w:val="24"/>
                <w:szCs w:val="24"/>
              </w:rPr>
            </w:pPr>
            <w:r w:rsidRPr="00581738">
              <w:rPr>
                <w:rFonts w:ascii="Calibri" w:hAnsi="Calibri"/>
                <w:sz w:val="24"/>
                <w:szCs w:val="24"/>
              </w:rPr>
              <w:t>£1.60</w:t>
            </w:r>
          </w:p>
        </w:tc>
      </w:tr>
      <w:tr w:rsidR="00D66552" w:rsidRPr="00581738" w:rsidTr="00ED5BD2">
        <w:tc>
          <w:tcPr>
            <w:tcW w:w="0" w:type="auto"/>
          </w:tcPr>
          <w:p w:rsidR="00D66552" w:rsidRPr="00581738" w:rsidRDefault="00D66552" w:rsidP="00ED5BD2">
            <w:pPr>
              <w:pStyle w:val="NoSpacing"/>
              <w:rPr>
                <w:rFonts w:ascii="Calibri" w:hAnsi="Calibri"/>
                <w:sz w:val="28"/>
                <w:szCs w:val="24"/>
              </w:rPr>
            </w:pPr>
            <w:r w:rsidRPr="00581738">
              <w:rPr>
                <w:rFonts w:ascii="Calibri" w:hAnsi="Calibri"/>
                <w:b/>
                <w:sz w:val="28"/>
                <w:szCs w:val="24"/>
              </w:rPr>
              <w:t>Total NHS Reimbursement</w:t>
            </w:r>
          </w:p>
        </w:tc>
        <w:tc>
          <w:tcPr>
            <w:tcW w:w="0" w:type="auto"/>
          </w:tcPr>
          <w:p w:rsidR="00D66552" w:rsidRPr="00581738" w:rsidRDefault="00D66552" w:rsidP="00ED5BD2">
            <w:pPr>
              <w:pStyle w:val="NoSpacing"/>
              <w:jc w:val="center"/>
              <w:rPr>
                <w:rFonts w:ascii="Calibri" w:hAnsi="Calibri"/>
                <w:b/>
                <w:sz w:val="28"/>
                <w:szCs w:val="24"/>
              </w:rPr>
            </w:pPr>
            <w:r w:rsidRPr="00581738">
              <w:rPr>
                <w:rFonts w:ascii="Calibri" w:hAnsi="Calibri"/>
                <w:b/>
                <w:sz w:val="28"/>
                <w:szCs w:val="24"/>
              </w:rPr>
              <w:t>£10.</w:t>
            </w:r>
            <w:r>
              <w:rPr>
                <w:rFonts w:ascii="Calibri" w:hAnsi="Calibri"/>
                <w:b/>
                <w:sz w:val="28"/>
                <w:szCs w:val="24"/>
              </w:rPr>
              <w:t>32</w:t>
            </w:r>
          </w:p>
        </w:tc>
        <w:tc>
          <w:tcPr>
            <w:tcW w:w="0" w:type="auto"/>
          </w:tcPr>
          <w:p w:rsidR="00D66552" w:rsidRPr="00581738" w:rsidRDefault="00D66552" w:rsidP="00ED5BD2">
            <w:pPr>
              <w:pStyle w:val="NoSpacing"/>
              <w:jc w:val="center"/>
              <w:rPr>
                <w:rFonts w:ascii="Calibri" w:hAnsi="Calibri"/>
                <w:b/>
                <w:sz w:val="28"/>
                <w:szCs w:val="24"/>
              </w:rPr>
            </w:pPr>
            <w:r>
              <w:rPr>
                <w:rFonts w:ascii="Calibri" w:hAnsi="Calibri"/>
                <w:b/>
                <w:sz w:val="28"/>
                <w:szCs w:val="24"/>
              </w:rPr>
              <w:t>£12.01</w:t>
            </w:r>
          </w:p>
        </w:tc>
      </w:tr>
      <w:tr w:rsidR="00D66552" w:rsidTr="00ED5BD2">
        <w:tc>
          <w:tcPr>
            <w:tcW w:w="0" w:type="auto"/>
          </w:tcPr>
          <w:p w:rsidR="00D66552" w:rsidRPr="00581738" w:rsidRDefault="00D66552" w:rsidP="00ED5BD2">
            <w:pPr>
              <w:pStyle w:val="NoSpacing"/>
              <w:rPr>
                <w:rFonts w:ascii="Calibri" w:hAnsi="Calibri"/>
                <w:sz w:val="24"/>
                <w:szCs w:val="24"/>
              </w:rPr>
            </w:pPr>
            <w:r w:rsidRPr="00581738">
              <w:rPr>
                <w:rFonts w:ascii="Calibri" w:hAnsi="Calibri"/>
                <w:sz w:val="24"/>
                <w:szCs w:val="24"/>
              </w:rPr>
              <w:t>Actual cost after discount (5</w:t>
            </w:r>
            <w:r w:rsidR="009734B3">
              <w:rPr>
                <w:rFonts w:ascii="Calibri" w:hAnsi="Calibri"/>
                <w:sz w:val="24"/>
                <w:szCs w:val="24"/>
              </w:rPr>
              <w:t>6</w:t>
            </w:r>
            <w:r w:rsidRPr="00581738">
              <w:rPr>
                <w:rFonts w:ascii="Calibri" w:hAnsi="Calibri"/>
                <w:sz w:val="24"/>
                <w:szCs w:val="24"/>
              </w:rPr>
              <w:t>%/50%)</w:t>
            </w:r>
          </w:p>
        </w:tc>
        <w:tc>
          <w:tcPr>
            <w:tcW w:w="0" w:type="auto"/>
          </w:tcPr>
          <w:p w:rsidR="00D66552" w:rsidRPr="00581738" w:rsidRDefault="00D66552" w:rsidP="00ED5BD2">
            <w:pPr>
              <w:pStyle w:val="NoSpacing"/>
              <w:jc w:val="center"/>
              <w:rPr>
                <w:rFonts w:ascii="Calibri" w:hAnsi="Calibri"/>
                <w:sz w:val="24"/>
                <w:szCs w:val="24"/>
              </w:rPr>
            </w:pPr>
            <w:r w:rsidRPr="00581738">
              <w:rPr>
                <w:rFonts w:ascii="Calibri" w:hAnsi="Calibri"/>
                <w:sz w:val="24"/>
                <w:szCs w:val="24"/>
              </w:rPr>
              <w:t>£</w:t>
            </w:r>
            <w:r w:rsidR="009734B3">
              <w:rPr>
                <w:rFonts w:ascii="Calibri" w:hAnsi="Calibri"/>
                <w:sz w:val="24"/>
                <w:szCs w:val="24"/>
              </w:rPr>
              <w:t>2.90</w:t>
            </w:r>
          </w:p>
        </w:tc>
        <w:tc>
          <w:tcPr>
            <w:tcW w:w="0" w:type="auto"/>
          </w:tcPr>
          <w:p w:rsidR="00D66552" w:rsidRPr="00581738" w:rsidRDefault="00D66552" w:rsidP="00ED5BD2">
            <w:pPr>
              <w:pStyle w:val="NoSpacing"/>
              <w:jc w:val="center"/>
              <w:rPr>
                <w:rFonts w:ascii="Calibri" w:hAnsi="Calibri"/>
                <w:sz w:val="24"/>
                <w:szCs w:val="24"/>
              </w:rPr>
            </w:pPr>
            <w:r w:rsidRPr="00581738">
              <w:rPr>
                <w:rFonts w:ascii="Calibri" w:hAnsi="Calibri"/>
                <w:sz w:val="24"/>
                <w:szCs w:val="24"/>
              </w:rPr>
              <w:t>£4.00</w:t>
            </w:r>
          </w:p>
        </w:tc>
      </w:tr>
      <w:tr w:rsidR="009734B3" w:rsidTr="00ED5BD2">
        <w:tc>
          <w:tcPr>
            <w:tcW w:w="0" w:type="auto"/>
          </w:tcPr>
          <w:p w:rsidR="009734B3" w:rsidRPr="00581738" w:rsidRDefault="009734B3" w:rsidP="009734B3">
            <w:pPr>
              <w:pStyle w:val="NoSpacing"/>
              <w:rPr>
                <w:rFonts w:ascii="Calibri" w:hAnsi="Calibri"/>
                <w:sz w:val="24"/>
                <w:szCs w:val="24"/>
              </w:rPr>
            </w:pPr>
            <w:r w:rsidRPr="00581738">
              <w:rPr>
                <w:rFonts w:ascii="Calibri" w:hAnsi="Calibri"/>
                <w:sz w:val="24"/>
                <w:szCs w:val="24"/>
              </w:rPr>
              <w:t>VAT (20%)</w:t>
            </w:r>
          </w:p>
        </w:tc>
        <w:tc>
          <w:tcPr>
            <w:tcW w:w="0" w:type="auto"/>
          </w:tcPr>
          <w:p w:rsidR="009734B3" w:rsidRPr="00043638" w:rsidRDefault="009734B3" w:rsidP="009734B3">
            <w:pPr>
              <w:tabs>
                <w:tab w:val="left" w:pos="1095"/>
              </w:tabs>
              <w:autoSpaceDE w:val="0"/>
              <w:autoSpaceDN w:val="0"/>
              <w:adjustRightInd w:val="0"/>
              <w:ind w:left="-100"/>
              <w:jc w:val="center"/>
              <w:rPr>
                <w:rFonts w:ascii="Calibri" w:hAnsi="Calibri" w:cs="Calibri"/>
                <w:color w:val="000000"/>
                <w:sz w:val="24"/>
                <w:szCs w:val="24"/>
              </w:rPr>
            </w:pPr>
            <w:r>
              <w:rPr>
                <w:rFonts w:ascii="Calibri" w:hAnsi="Calibri" w:cs="Calibri"/>
                <w:color w:val="000000"/>
                <w:sz w:val="24"/>
                <w:szCs w:val="24"/>
              </w:rPr>
              <w:t>£0.58</w:t>
            </w:r>
          </w:p>
        </w:tc>
        <w:tc>
          <w:tcPr>
            <w:tcW w:w="0" w:type="auto"/>
          </w:tcPr>
          <w:p w:rsidR="009734B3" w:rsidRPr="00581738" w:rsidRDefault="009734B3" w:rsidP="009734B3">
            <w:pPr>
              <w:pStyle w:val="NoSpacing"/>
              <w:jc w:val="center"/>
              <w:rPr>
                <w:rFonts w:ascii="Calibri" w:hAnsi="Calibri"/>
                <w:sz w:val="24"/>
                <w:szCs w:val="24"/>
              </w:rPr>
            </w:pPr>
            <w:r w:rsidRPr="00581738">
              <w:rPr>
                <w:rFonts w:ascii="Calibri" w:hAnsi="Calibri"/>
                <w:sz w:val="24"/>
                <w:szCs w:val="24"/>
              </w:rPr>
              <w:t>£0.80</w:t>
            </w:r>
          </w:p>
        </w:tc>
      </w:tr>
      <w:tr w:rsidR="009734B3" w:rsidTr="00ED5BD2">
        <w:tc>
          <w:tcPr>
            <w:tcW w:w="0" w:type="auto"/>
          </w:tcPr>
          <w:p w:rsidR="009734B3" w:rsidRPr="00581738" w:rsidRDefault="009734B3" w:rsidP="009734B3">
            <w:pPr>
              <w:pStyle w:val="NoSpacing"/>
              <w:rPr>
                <w:rFonts w:ascii="Calibri" w:hAnsi="Calibri"/>
                <w:sz w:val="24"/>
                <w:szCs w:val="24"/>
              </w:rPr>
            </w:pPr>
            <w:r w:rsidRPr="00581738">
              <w:rPr>
                <w:rFonts w:ascii="Calibri" w:hAnsi="Calibri"/>
                <w:sz w:val="24"/>
                <w:szCs w:val="24"/>
              </w:rPr>
              <w:t>Total cost to practice</w:t>
            </w:r>
          </w:p>
        </w:tc>
        <w:tc>
          <w:tcPr>
            <w:tcW w:w="0" w:type="auto"/>
          </w:tcPr>
          <w:p w:rsidR="009734B3" w:rsidRPr="00043638" w:rsidRDefault="009734B3" w:rsidP="009734B3">
            <w:pPr>
              <w:autoSpaceDE w:val="0"/>
              <w:autoSpaceDN w:val="0"/>
              <w:adjustRightInd w:val="0"/>
              <w:ind w:left="-100"/>
              <w:jc w:val="center"/>
              <w:rPr>
                <w:rFonts w:ascii="Calibri" w:hAnsi="Calibri" w:cs="Calibri"/>
                <w:color w:val="000000"/>
                <w:sz w:val="24"/>
                <w:szCs w:val="24"/>
              </w:rPr>
            </w:pPr>
            <w:r>
              <w:rPr>
                <w:rFonts w:ascii="Calibri" w:hAnsi="Calibri" w:cs="Calibri"/>
                <w:color w:val="000000"/>
                <w:sz w:val="24"/>
                <w:szCs w:val="24"/>
              </w:rPr>
              <w:t>£3.48</w:t>
            </w:r>
          </w:p>
        </w:tc>
        <w:tc>
          <w:tcPr>
            <w:tcW w:w="0" w:type="auto"/>
          </w:tcPr>
          <w:p w:rsidR="009734B3" w:rsidRPr="00581738" w:rsidRDefault="009734B3" w:rsidP="009734B3">
            <w:pPr>
              <w:pStyle w:val="NoSpacing"/>
              <w:jc w:val="center"/>
              <w:rPr>
                <w:rFonts w:ascii="Calibri" w:hAnsi="Calibri"/>
                <w:sz w:val="24"/>
                <w:szCs w:val="24"/>
              </w:rPr>
            </w:pPr>
            <w:r w:rsidRPr="00581738">
              <w:rPr>
                <w:rFonts w:ascii="Calibri" w:hAnsi="Calibri"/>
                <w:sz w:val="24"/>
                <w:szCs w:val="24"/>
              </w:rPr>
              <w:t>£4.80</w:t>
            </w:r>
          </w:p>
        </w:tc>
      </w:tr>
      <w:tr w:rsidR="009734B3" w:rsidRPr="00581738" w:rsidTr="00ED5BD2">
        <w:tc>
          <w:tcPr>
            <w:tcW w:w="0" w:type="auto"/>
          </w:tcPr>
          <w:p w:rsidR="009734B3" w:rsidRPr="00581738" w:rsidRDefault="009734B3" w:rsidP="009734B3">
            <w:pPr>
              <w:pStyle w:val="NoSpacing"/>
              <w:rPr>
                <w:rFonts w:ascii="Calibri" w:hAnsi="Calibri"/>
                <w:sz w:val="28"/>
                <w:szCs w:val="24"/>
              </w:rPr>
            </w:pPr>
            <w:r w:rsidRPr="00581738">
              <w:rPr>
                <w:rFonts w:ascii="Calibri" w:hAnsi="Calibri"/>
                <w:b/>
                <w:sz w:val="28"/>
                <w:szCs w:val="24"/>
              </w:rPr>
              <w:t>Total Profit Per Dose (PPD)</w:t>
            </w:r>
          </w:p>
        </w:tc>
        <w:tc>
          <w:tcPr>
            <w:tcW w:w="0" w:type="auto"/>
          </w:tcPr>
          <w:p w:rsidR="009734B3" w:rsidRPr="00043638" w:rsidRDefault="009734B3" w:rsidP="009734B3">
            <w:pPr>
              <w:autoSpaceDE w:val="0"/>
              <w:autoSpaceDN w:val="0"/>
              <w:adjustRightInd w:val="0"/>
              <w:ind w:left="-100"/>
              <w:jc w:val="center"/>
              <w:rPr>
                <w:rFonts w:ascii="Calibri" w:hAnsi="Calibri" w:cs="Calibri"/>
                <w:b/>
                <w:color w:val="000000"/>
                <w:sz w:val="28"/>
                <w:szCs w:val="24"/>
              </w:rPr>
            </w:pPr>
            <w:r w:rsidRPr="00043638">
              <w:rPr>
                <w:rFonts w:ascii="Calibri" w:hAnsi="Calibri" w:cs="Calibri"/>
                <w:b/>
                <w:color w:val="000000"/>
                <w:sz w:val="28"/>
                <w:szCs w:val="24"/>
              </w:rPr>
              <w:t>£</w:t>
            </w:r>
            <w:r>
              <w:rPr>
                <w:rFonts w:ascii="Calibri" w:hAnsi="Calibri" w:cs="Calibri"/>
                <w:b/>
                <w:color w:val="000000"/>
                <w:sz w:val="28"/>
                <w:szCs w:val="24"/>
              </w:rPr>
              <w:t>6.84</w:t>
            </w:r>
          </w:p>
        </w:tc>
        <w:tc>
          <w:tcPr>
            <w:tcW w:w="0" w:type="auto"/>
          </w:tcPr>
          <w:p w:rsidR="009734B3" w:rsidRPr="00581738" w:rsidRDefault="009734B3" w:rsidP="009734B3">
            <w:pPr>
              <w:pStyle w:val="NoSpacing"/>
              <w:jc w:val="center"/>
              <w:rPr>
                <w:rFonts w:ascii="Calibri" w:hAnsi="Calibri"/>
                <w:b/>
                <w:sz w:val="28"/>
                <w:szCs w:val="24"/>
              </w:rPr>
            </w:pPr>
            <w:r w:rsidRPr="00581738">
              <w:rPr>
                <w:rFonts w:ascii="Calibri" w:hAnsi="Calibri"/>
                <w:b/>
                <w:sz w:val="28"/>
                <w:szCs w:val="24"/>
              </w:rPr>
              <w:t>£</w:t>
            </w:r>
            <w:r>
              <w:rPr>
                <w:rFonts w:ascii="Calibri" w:hAnsi="Calibri"/>
                <w:b/>
                <w:sz w:val="28"/>
                <w:szCs w:val="24"/>
              </w:rPr>
              <w:t>7.21</w:t>
            </w:r>
          </w:p>
        </w:tc>
      </w:tr>
    </w:tbl>
    <w:p w:rsidR="00D66552" w:rsidRDefault="00D66552" w:rsidP="00D66552">
      <w:pPr>
        <w:pStyle w:val="NoSpacing"/>
        <w:rPr>
          <w:rFonts w:ascii="Calibri" w:hAnsi="Calibri"/>
          <w:sz w:val="20"/>
        </w:rPr>
      </w:pPr>
    </w:p>
    <w:p w:rsidR="00D66552" w:rsidRPr="00444583" w:rsidRDefault="00D66552" w:rsidP="00D66552">
      <w:pPr>
        <w:pStyle w:val="NoSpacing"/>
        <w:rPr>
          <w:rFonts w:ascii="Calibri" w:hAnsi="Calibri"/>
          <w:sz w:val="20"/>
        </w:rPr>
      </w:pPr>
      <w:r w:rsidRPr="00444583">
        <w:rPr>
          <w:rFonts w:ascii="Calibri" w:hAnsi="Calibri"/>
          <w:sz w:val="20"/>
        </w:rPr>
        <w:t>+ The company offers a portfolio of seasonal flu vaccines from different manufacturers</w:t>
      </w:r>
      <w:r>
        <w:rPr>
          <w:rFonts w:ascii="Calibri" w:hAnsi="Calibri"/>
          <w:sz w:val="20"/>
        </w:rPr>
        <w:t xml:space="preserve"> including a quadrivalent vaccine</w:t>
      </w:r>
      <w:r w:rsidRPr="00444583">
        <w:rPr>
          <w:rFonts w:ascii="Calibri" w:hAnsi="Calibri"/>
          <w:sz w:val="20"/>
        </w:rPr>
        <w:t xml:space="preserve">. Customers can order just one brand of vaccine or can split their order across MASTA’s portfolio of vaccines. </w:t>
      </w:r>
    </w:p>
    <w:p w:rsidR="00D66552" w:rsidRPr="00032990" w:rsidRDefault="00D66552" w:rsidP="00D66552">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2016 (see separate table).</w:t>
      </w:r>
    </w:p>
    <w:p w:rsidR="00D66552" w:rsidRDefault="00D66552" w:rsidP="00D66552">
      <w:pPr>
        <w:pStyle w:val="NoSpacing"/>
      </w:pPr>
    </w:p>
    <w:p w:rsidR="00D66552" w:rsidRDefault="00D66552" w:rsidP="00D66552">
      <w:pPr>
        <w:pStyle w:val="NoSpacing"/>
      </w:pPr>
      <w:r w:rsidRPr="00253888">
        <w:t xml:space="preserve">MASTA’s offer also includes: </w:t>
      </w:r>
    </w:p>
    <w:p w:rsidR="00D66552" w:rsidRPr="00253888" w:rsidRDefault="00D66552" w:rsidP="00D66552">
      <w:pPr>
        <w:pStyle w:val="NoSpacing"/>
      </w:pPr>
    </w:p>
    <w:p w:rsidR="009734B3" w:rsidRDefault="009734B3" w:rsidP="009734B3">
      <w:pPr>
        <w:pStyle w:val="NoSpacing"/>
        <w:numPr>
          <w:ilvl w:val="0"/>
          <w:numId w:val="4"/>
        </w:numPr>
      </w:pPr>
      <w:r>
        <w:t xml:space="preserve">20% sale or return facility on contract order volumes. Returns must be back with MASTA by 28 February 2018 to be eligible for credit.  </w:t>
      </w:r>
    </w:p>
    <w:p w:rsidR="009734B3" w:rsidRDefault="009734B3" w:rsidP="009734B3">
      <w:pPr>
        <w:pStyle w:val="NoSpacing"/>
        <w:numPr>
          <w:ilvl w:val="0"/>
          <w:numId w:val="4"/>
        </w:numPr>
      </w:pPr>
      <w:r>
        <w:t xml:space="preserve">There will 120 days’ payment terms from the date of each invoice. </w:t>
      </w:r>
    </w:p>
    <w:p w:rsidR="009734B3" w:rsidRDefault="009734B3" w:rsidP="009734B3">
      <w:pPr>
        <w:pStyle w:val="NoSpacing"/>
        <w:numPr>
          <w:ilvl w:val="0"/>
          <w:numId w:val="4"/>
        </w:numPr>
      </w:pPr>
      <w:r>
        <w:t>Reserve doses can be placed in the event of uptake exceeding expectation.</w:t>
      </w:r>
    </w:p>
    <w:p w:rsidR="009734B3" w:rsidRDefault="009734B3" w:rsidP="009734B3">
      <w:pPr>
        <w:pStyle w:val="NoSpacing"/>
        <w:numPr>
          <w:ilvl w:val="0"/>
          <w:numId w:val="4"/>
        </w:numPr>
      </w:pPr>
      <w:r>
        <w:t xml:space="preserve">Named day cold chain delivery, minimum order volume just 50 doses for carriage free delivery </w:t>
      </w:r>
    </w:p>
    <w:p w:rsidR="009734B3" w:rsidRDefault="009734B3" w:rsidP="009734B3">
      <w:pPr>
        <w:pStyle w:val="NoSpacing"/>
        <w:numPr>
          <w:ilvl w:val="0"/>
          <w:numId w:val="4"/>
        </w:numPr>
      </w:pPr>
      <w:r>
        <w:t xml:space="preserve">Delivery dates can be amended with just 72 hours’ notice to MASTA. Flexibility to cancel or reduce last deliveries to assist with stock management. </w:t>
      </w:r>
    </w:p>
    <w:p w:rsidR="00D66552" w:rsidRDefault="009734B3" w:rsidP="009734B3">
      <w:pPr>
        <w:pStyle w:val="NoSpacing"/>
        <w:numPr>
          <w:ilvl w:val="0"/>
          <w:numId w:val="4"/>
        </w:numPr>
      </w:pPr>
      <w:r>
        <w:t>Range of campaign support materials provided free of charge.</w:t>
      </w:r>
    </w:p>
    <w:p w:rsidR="009734B3" w:rsidRPr="00253888" w:rsidRDefault="009734B3" w:rsidP="009734B3">
      <w:pPr>
        <w:pStyle w:val="NoSpacing"/>
      </w:pPr>
    </w:p>
    <w:p w:rsidR="00D66552" w:rsidRDefault="00D66552" w:rsidP="00D66552">
      <w:pPr>
        <w:rPr>
          <w:rFonts w:cstheme="minorHAnsi"/>
          <w:b/>
          <w:sz w:val="28"/>
        </w:rPr>
      </w:pPr>
      <w:r w:rsidRPr="00F94372">
        <w:rPr>
          <w:rFonts w:cstheme="minorHAnsi"/>
          <w:b/>
          <w:sz w:val="28"/>
        </w:rPr>
        <w:t>Contact Us</w:t>
      </w:r>
    </w:p>
    <w:p w:rsidR="00D66552" w:rsidRPr="006155E4" w:rsidRDefault="00D66552" w:rsidP="00D66552">
      <w:pPr>
        <w:pStyle w:val="NoSpacing"/>
      </w:pPr>
      <w:r w:rsidRPr="006155E4">
        <w:t xml:space="preserve">Tel: </w:t>
      </w:r>
      <w:r w:rsidR="009734B3" w:rsidRPr="009734B3">
        <w:t>0113 238 7552</w:t>
      </w:r>
      <w:r w:rsidR="009734B3">
        <w:t>;</w:t>
      </w:r>
      <w:r w:rsidR="009734B3" w:rsidRPr="009734B3">
        <w:t xml:space="preserve"> </w:t>
      </w:r>
      <w:r w:rsidRPr="006155E4">
        <w:t xml:space="preserve">Email: </w:t>
      </w:r>
      <w:hyperlink r:id="rId9" w:history="1">
        <w:r w:rsidRPr="006155E4">
          <w:rPr>
            <w:rStyle w:val="Hyperlink"/>
            <w:rFonts w:cstheme="minorHAnsi"/>
            <w:sz w:val="24"/>
            <w:szCs w:val="24"/>
          </w:rPr>
          <w:t>fluteam@masta.org</w:t>
        </w:r>
      </w:hyperlink>
      <w:r w:rsidRPr="006155E4">
        <w:t xml:space="preserve"> </w:t>
      </w:r>
    </w:p>
    <w:p w:rsidR="00D66552" w:rsidRDefault="00D66552" w:rsidP="00A34974">
      <w:pPr>
        <w:pStyle w:val="NoSpacing"/>
        <w:jc w:val="center"/>
        <w:rPr>
          <w:b/>
          <w:color w:val="7030A0"/>
          <w:sz w:val="40"/>
          <w:szCs w:val="40"/>
        </w:rPr>
      </w:pPr>
    </w:p>
    <w:p w:rsidR="00D66552" w:rsidRDefault="00D66552" w:rsidP="00A34974">
      <w:pPr>
        <w:pStyle w:val="NoSpacing"/>
        <w:jc w:val="center"/>
        <w:rPr>
          <w:b/>
          <w:color w:val="7030A0"/>
          <w:sz w:val="40"/>
          <w:szCs w:val="40"/>
        </w:rPr>
      </w:pPr>
    </w:p>
    <w:p w:rsidR="009734B3" w:rsidRDefault="009734B3" w:rsidP="00A34974">
      <w:pPr>
        <w:pStyle w:val="NoSpacing"/>
        <w:jc w:val="center"/>
        <w:rPr>
          <w:b/>
          <w:color w:val="7030A0"/>
          <w:sz w:val="40"/>
          <w:szCs w:val="40"/>
        </w:rPr>
      </w:pPr>
    </w:p>
    <w:p w:rsidR="009734B3" w:rsidRDefault="009734B3" w:rsidP="00A34974">
      <w:pPr>
        <w:pStyle w:val="NoSpacing"/>
        <w:jc w:val="center"/>
        <w:rPr>
          <w:b/>
          <w:color w:val="7030A0"/>
          <w:sz w:val="40"/>
          <w:szCs w:val="40"/>
        </w:rPr>
      </w:pPr>
    </w:p>
    <w:p w:rsidR="009734B3" w:rsidRDefault="009734B3" w:rsidP="00A34974">
      <w:pPr>
        <w:pStyle w:val="NoSpacing"/>
        <w:jc w:val="center"/>
        <w:rPr>
          <w:b/>
          <w:color w:val="7030A0"/>
          <w:sz w:val="40"/>
          <w:szCs w:val="40"/>
        </w:rPr>
      </w:pPr>
    </w:p>
    <w:p w:rsidR="009734B3" w:rsidRDefault="009734B3" w:rsidP="00A34974">
      <w:pPr>
        <w:pStyle w:val="NoSpacing"/>
        <w:jc w:val="center"/>
        <w:rPr>
          <w:b/>
          <w:color w:val="7030A0"/>
          <w:sz w:val="40"/>
          <w:szCs w:val="40"/>
        </w:rPr>
      </w:pPr>
    </w:p>
    <w:p w:rsidR="009734B3" w:rsidRDefault="009734B3" w:rsidP="00A34974">
      <w:pPr>
        <w:pStyle w:val="NoSpacing"/>
        <w:jc w:val="center"/>
        <w:rPr>
          <w:b/>
          <w:color w:val="7030A0"/>
          <w:sz w:val="40"/>
          <w:szCs w:val="40"/>
        </w:rPr>
      </w:pPr>
    </w:p>
    <w:p w:rsidR="009734B3" w:rsidRDefault="009734B3" w:rsidP="00A34974">
      <w:pPr>
        <w:pStyle w:val="NoSpacing"/>
        <w:jc w:val="center"/>
        <w:rPr>
          <w:b/>
          <w:color w:val="7030A0"/>
          <w:sz w:val="40"/>
          <w:szCs w:val="40"/>
        </w:rPr>
      </w:pPr>
    </w:p>
    <w:p w:rsidR="00A34974" w:rsidRPr="00253888" w:rsidRDefault="00A34974" w:rsidP="00A34974">
      <w:pPr>
        <w:pStyle w:val="NoSpacing"/>
        <w:jc w:val="center"/>
        <w:rPr>
          <w:b/>
          <w:color w:val="7030A0"/>
          <w:sz w:val="40"/>
        </w:rPr>
      </w:pPr>
      <w:r w:rsidRPr="00253888">
        <w:rPr>
          <w:b/>
          <w:color w:val="7030A0"/>
          <w:sz w:val="40"/>
        </w:rPr>
        <w:lastRenderedPageBreak/>
        <w:t>Mylan</w:t>
      </w:r>
    </w:p>
    <w:p w:rsidR="00A34974" w:rsidRPr="00253888" w:rsidRDefault="00A34974" w:rsidP="00A34974">
      <w:pPr>
        <w:autoSpaceDE w:val="0"/>
        <w:autoSpaceDN w:val="0"/>
        <w:adjustRightInd w:val="0"/>
        <w:spacing w:after="0" w:line="240" w:lineRule="auto"/>
        <w:jc w:val="center"/>
        <w:rPr>
          <w:rFonts w:ascii="Calibri" w:hAnsi="Calibri" w:cs="Calibri"/>
          <w:b/>
          <w:color w:val="000000"/>
          <w:sz w:val="24"/>
          <w:szCs w:val="32"/>
        </w:rPr>
      </w:pPr>
    </w:p>
    <w:p w:rsidR="00A34974" w:rsidRPr="00043638" w:rsidRDefault="00A34974" w:rsidP="00A34974">
      <w:pPr>
        <w:autoSpaceDE w:val="0"/>
        <w:autoSpaceDN w:val="0"/>
        <w:adjustRightInd w:val="0"/>
        <w:spacing w:after="0" w:line="240" w:lineRule="auto"/>
        <w:rPr>
          <w:rFonts w:ascii="Calibri" w:hAnsi="Calibri" w:cs="Calibri"/>
          <w:b/>
          <w:color w:val="000000"/>
          <w:sz w:val="32"/>
          <w:szCs w:val="32"/>
        </w:rPr>
      </w:pPr>
      <w:r w:rsidRPr="00043638">
        <w:rPr>
          <w:rFonts w:ascii="Calibri" w:hAnsi="Calibri" w:cs="Calibri"/>
          <w:b/>
          <w:color w:val="000000"/>
          <w:sz w:val="32"/>
          <w:szCs w:val="32"/>
        </w:rPr>
        <w:t>Imuvac</w:t>
      </w:r>
    </w:p>
    <w:p w:rsidR="00A34974" w:rsidRPr="00253888" w:rsidRDefault="00A34974" w:rsidP="00A34974">
      <w:pPr>
        <w:autoSpaceDE w:val="0"/>
        <w:autoSpaceDN w:val="0"/>
        <w:adjustRightInd w:val="0"/>
        <w:spacing w:after="0" w:line="240" w:lineRule="auto"/>
        <w:rPr>
          <w:rFonts w:ascii="Calibri" w:hAnsi="Calibri" w:cs="Calibri"/>
          <w:b/>
          <w:color w:val="000000"/>
          <w:sz w:val="24"/>
          <w:szCs w:val="3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4"/>
        <w:gridCol w:w="1764"/>
        <w:gridCol w:w="1764"/>
      </w:tblGrid>
      <w:tr w:rsidR="00A34974" w:rsidRPr="00043638" w:rsidTr="00D14D64">
        <w:trPr>
          <w:trHeight w:val="167"/>
        </w:trPr>
        <w:tc>
          <w:tcPr>
            <w:tcW w:w="4244" w:type="dxa"/>
          </w:tcPr>
          <w:p w:rsidR="00A34974" w:rsidRPr="00043638" w:rsidRDefault="00A34974" w:rsidP="00D14D64">
            <w:pPr>
              <w:spacing w:after="0" w:line="240" w:lineRule="auto"/>
              <w:rPr>
                <w:rFonts w:ascii="Calibri" w:eastAsia="Times New Roman" w:hAnsi="Calibri" w:cs="Times New Roman"/>
                <w:b/>
                <w:sz w:val="24"/>
                <w:szCs w:val="24"/>
                <w:lang w:eastAsia="en-GB"/>
              </w:rPr>
            </w:pPr>
          </w:p>
        </w:tc>
        <w:tc>
          <w:tcPr>
            <w:tcW w:w="1764" w:type="dxa"/>
          </w:tcPr>
          <w:p w:rsidR="00A34974" w:rsidRPr="00043638" w:rsidRDefault="00A34974" w:rsidP="00D14D64">
            <w:pPr>
              <w:autoSpaceDE w:val="0"/>
              <w:autoSpaceDN w:val="0"/>
              <w:adjustRightInd w:val="0"/>
              <w:spacing w:after="0" w:line="240" w:lineRule="auto"/>
              <w:ind w:left="-100"/>
              <w:jc w:val="center"/>
              <w:rPr>
                <w:rFonts w:ascii="Calibri" w:hAnsi="Calibri" w:cs="Calibri"/>
                <w:b/>
                <w:color w:val="000000"/>
                <w:sz w:val="24"/>
                <w:szCs w:val="24"/>
              </w:rPr>
            </w:pPr>
            <w:r w:rsidRPr="00043638">
              <w:rPr>
                <w:rFonts w:ascii="Calibri" w:hAnsi="Calibri" w:cs="Calibri"/>
                <w:b/>
                <w:color w:val="000000"/>
                <w:sz w:val="24"/>
                <w:szCs w:val="24"/>
              </w:rPr>
              <w:t>Orders before 24.12.16</w:t>
            </w:r>
          </w:p>
        </w:tc>
        <w:tc>
          <w:tcPr>
            <w:tcW w:w="1764" w:type="dxa"/>
          </w:tcPr>
          <w:p w:rsidR="00A34974" w:rsidRPr="00043638" w:rsidRDefault="00A34974" w:rsidP="00D14D64">
            <w:pPr>
              <w:autoSpaceDE w:val="0"/>
              <w:autoSpaceDN w:val="0"/>
              <w:adjustRightInd w:val="0"/>
              <w:spacing w:after="0" w:line="240" w:lineRule="auto"/>
              <w:ind w:left="-100"/>
              <w:jc w:val="center"/>
              <w:rPr>
                <w:rFonts w:ascii="Calibri" w:hAnsi="Calibri" w:cs="Calibri"/>
                <w:b/>
                <w:color w:val="000000"/>
                <w:sz w:val="24"/>
                <w:szCs w:val="24"/>
              </w:rPr>
            </w:pPr>
            <w:r w:rsidRPr="00043638">
              <w:rPr>
                <w:rFonts w:ascii="Calibri" w:hAnsi="Calibri" w:cs="Calibri"/>
                <w:b/>
                <w:color w:val="000000"/>
                <w:sz w:val="24"/>
                <w:szCs w:val="24"/>
              </w:rPr>
              <w:t>Orders after 24.12.16</w:t>
            </w:r>
          </w:p>
        </w:tc>
      </w:tr>
      <w:tr w:rsidR="00A34974" w:rsidRPr="00043638" w:rsidTr="00D14D64">
        <w:trPr>
          <w:trHeight w:val="167"/>
        </w:trPr>
        <w:tc>
          <w:tcPr>
            <w:tcW w:w="4244" w:type="dxa"/>
          </w:tcPr>
          <w:p w:rsidR="00A34974" w:rsidRPr="00043638" w:rsidRDefault="00A34974" w:rsidP="00D14D64">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NHS Price</w:t>
            </w:r>
          </w:p>
        </w:tc>
        <w:tc>
          <w:tcPr>
            <w:tcW w:w="1764"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£6.59</w:t>
            </w:r>
          </w:p>
        </w:tc>
        <w:tc>
          <w:tcPr>
            <w:tcW w:w="1764"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£6.59</w:t>
            </w:r>
          </w:p>
        </w:tc>
      </w:tr>
      <w:tr w:rsidR="00A34974" w:rsidRPr="00043638" w:rsidTr="00D14D64">
        <w:trPr>
          <w:trHeight w:val="190"/>
        </w:trPr>
        <w:tc>
          <w:tcPr>
            <w:tcW w:w="4244" w:type="dxa"/>
          </w:tcPr>
          <w:p w:rsidR="00A34974" w:rsidRPr="00043638" w:rsidRDefault="00A34974" w:rsidP="00D14D64">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Dispensing Fee*</w:t>
            </w:r>
          </w:p>
        </w:tc>
        <w:tc>
          <w:tcPr>
            <w:tcW w:w="1764"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£2.</w:t>
            </w:r>
            <w:r>
              <w:rPr>
                <w:rFonts w:ascii="Calibri" w:hAnsi="Calibri" w:cs="Calibri"/>
                <w:color w:val="000000"/>
                <w:sz w:val="24"/>
                <w:szCs w:val="24"/>
              </w:rPr>
              <w:t>40</w:t>
            </w:r>
            <w:r w:rsidR="003B5106">
              <w:rPr>
                <w:rFonts w:ascii="Calibri" w:hAnsi="Calibri" w:cs="Calibri"/>
                <w:color w:val="000000"/>
                <w:sz w:val="24"/>
                <w:szCs w:val="24"/>
              </w:rPr>
              <w:t>5</w:t>
            </w:r>
          </w:p>
        </w:tc>
        <w:tc>
          <w:tcPr>
            <w:tcW w:w="1764"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£2.40</w:t>
            </w:r>
            <w:r w:rsidR="003B5106">
              <w:rPr>
                <w:rFonts w:ascii="Calibri" w:hAnsi="Calibri" w:cs="Calibri"/>
                <w:color w:val="000000"/>
                <w:sz w:val="24"/>
                <w:szCs w:val="24"/>
              </w:rPr>
              <w:t>5</w:t>
            </w:r>
          </w:p>
        </w:tc>
      </w:tr>
      <w:tr w:rsidR="00A34974" w:rsidRPr="00043638" w:rsidTr="00D14D64">
        <w:trPr>
          <w:trHeight w:val="190"/>
        </w:trPr>
        <w:tc>
          <w:tcPr>
            <w:tcW w:w="4244" w:type="dxa"/>
          </w:tcPr>
          <w:p w:rsidR="00A34974" w:rsidRPr="00043638" w:rsidRDefault="00A34974" w:rsidP="00D14D64">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VAT (20%)</w:t>
            </w:r>
          </w:p>
        </w:tc>
        <w:tc>
          <w:tcPr>
            <w:tcW w:w="1764"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£1.32</w:t>
            </w:r>
          </w:p>
        </w:tc>
        <w:tc>
          <w:tcPr>
            <w:tcW w:w="1764"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£1.32</w:t>
            </w:r>
          </w:p>
        </w:tc>
      </w:tr>
      <w:tr w:rsidR="00A34974" w:rsidRPr="00043638" w:rsidTr="00D14D64">
        <w:trPr>
          <w:trHeight w:val="156"/>
        </w:trPr>
        <w:tc>
          <w:tcPr>
            <w:tcW w:w="4244" w:type="dxa"/>
          </w:tcPr>
          <w:p w:rsidR="00A34974" w:rsidRPr="00043638" w:rsidRDefault="00A34974" w:rsidP="00D14D64">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Total NHS Reimbursement</w:t>
            </w:r>
          </w:p>
        </w:tc>
        <w:tc>
          <w:tcPr>
            <w:tcW w:w="1764" w:type="dxa"/>
          </w:tcPr>
          <w:p w:rsidR="00A34974" w:rsidRPr="00043638" w:rsidRDefault="00A34974" w:rsidP="00D14D64">
            <w:pPr>
              <w:autoSpaceDE w:val="0"/>
              <w:autoSpaceDN w:val="0"/>
              <w:adjustRightInd w:val="0"/>
              <w:spacing w:after="0" w:line="240" w:lineRule="auto"/>
              <w:ind w:left="-100"/>
              <w:jc w:val="center"/>
              <w:rPr>
                <w:rFonts w:ascii="Calibri" w:hAnsi="Calibri" w:cs="Calibri"/>
                <w:b/>
                <w:color w:val="000000"/>
                <w:sz w:val="28"/>
                <w:szCs w:val="24"/>
              </w:rPr>
            </w:pPr>
            <w:r w:rsidRPr="00043638">
              <w:rPr>
                <w:rFonts w:ascii="Calibri" w:hAnsi="Calibri" w:cs="Calibri"/>
                <w:b/>
                <w:color w:val="000000"/>
                <w:sz w:val="28"/>
                <w:szCs w:val="24"/>
              </w:rPr>
              <w:t>£10.</w:t>
            </w:r>
            <w:r w:rsidR="000743BC">
              <w:rPr>
                <w:rFonts w:ascii="Calibri" w:hAnsi="Calibri" w:cs="Calibri"/>
                <w:b/>
                <w:color w:val="000000"/>
                <w:sz w:val="28"/>
                <w:szCs w:val="24"/>
              </w:rPr>
              <w:t>32</w:t>
            </w:r>
          </w:p>
        </w:tc>
        <w:tc>
          <w:tcPr>
            <w:tcW w:w="1764" w:type="dxa"/>
          </w:tcPr>
          <w:p w:rsidR="00A34974" w:rsidRPr="00043638" w:rsidRDefault="000743BC" w:rsidP="00D14D64">
            <w:pPr>
              <w:autoSpaceDE w:val="0"/>
              <w:autoSpaceDN w:val="0"/>
              <w:adjustRightInd w:val="0"/>
              <w:spacing w:after="0" w:line="240" w:lineRule="auto"/>
              <w:ind w:left="-100"/>
              <w:jc w:val="center"/>
              <w:rPr>
                <w:rFonts w:ascii="Calibri" w:hAnsi="Calibri" w:cs="Calibri"/>
                <w:b/>
                <w:color w:val="000000"/>
                <w:sz w:val="28"/>
                <w:szCs w:val="24"/>
              </w:rPr>
            </w:pPr>
            <w:r>
              <w:rPr>
                <w:rFonts w:ascii="Calibri" w:hAnsi="Calibri" w:cs="Calibri"/>
                <w:b/>
                <w:color w:val="000000"/>
                <w:sz w:val="28"/>
                <w:szCs w:val="24"/>
              </w:rPr>
              <w:t>£10.32</w:t>
            </w:r>
          </w:p>
        </w:tc>
      </w:tr>
      <w:tr w:rsidR="00A34974" w:rsidRPr="00043638" w:rsidTr="00D14D64">
        <w:trPr>
          <w:trHeight w:val="156"/>
        </w:trPr>
        <w:tc>
          <w:tcPr>
            <w:tcW w:w="4244" w:type="dxa"/>
          </w:tcPr>
          <w:p w:rsidR="00A34974" w:rsidRPr="00043638" w:rsidRDefault="00A34974" w:rsidP="00D14D64">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Actual cost after discount (</w:t>
            </w:r>
            <w:r>
              <w:rPr>
                <w:rFonts w:ascii="Calibri" w:eastAsia="Times New Roman" w:hAnsi="Calibri" w:cs="Times New Roman"/>
                <w:sz w:val="24"/>
                <w:szCs w:val="24"/>
                <w:lang w:eastAsia="en-GB"/>
              </w:rPr>
              <w:t>56</w:t>
            </w:r>
            <w:r w:rsidRPr="00043638">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before Christmas then 55%</w:t>
            </w:r>
            <w:r w:rsidRPr="00043638">
              <w:rPr>
                <w:rFonts w:ascii="Calibri" w:eastAsia="Times New Roman" w:hAnsi="Calibri" w:cs="Times New Roman"/>
                <w:sz w:val="24"/>
                <w:szCs w:val="24"/>
                <w:lang w:eastAsia="en-GB"/>
              </w:rPr>
              <w:t>)</w:t>
            </w:r>
          </w:p>
        </w:tc>
        <w:tc>
          <w:tcPr>
            <w:tcW w:w="1764"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£2.90</w:t>
            </w:r>
          </w:p>
        </w:tc>
        <w:tc>
          <w:tcPr>
            <w:tcW w:w="1764"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£2.97</w:t>
            </w:r>
          </w:p>
        </w:tc>
      </w:tr>
      <w:tr w:rsidR="00A34974" w:rsidRPr="00043638" w:rsidTr="00D14D64">
        <w:trPr>
          <w:trHeight w:val="140"/>
        </w:trPr>
        <w:tc>
          <w:tcPr>
            <w:tcW w:w="4244" w:type="dxa"/>
          </w:tcPr>
          <w:p w:rsidR="00A34974" w:rsidRPr="00043638" w:rsidRDefault="00A34974" w:rsidP="00D14D64">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VAT (20%)</w:t>
            </w:r>
          </w:p>
        </w:tc>
        <w:tc>
          <w:tcPr>
            <w:tcW w:w="1764" w:type="dxa"/>
          </w:tcPr>
          <w:p w:rsidR="00A34974" w:rsidRPr="00043638" w:rsidRDefault="00A34974" w:rsidP="00D14D64">
            <w:pPr>
              <w:tabs>
                <w:tab w:val="left" w:pos="1095"/>
              </w:tabs>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£0.58</w:t>
            </w:r>
          </w:p>
        </w:tc>
        <w:tc>
          <w:tcPr>
            <w:tcW w:w="1764"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£0.59</w:t>
            </w:r>
          </w:p>
        </w:tc>
      </w:tr>
      <w:tr w:rsidR="00A34974" w:rsidRPr="00043638" w:rsidTr="00D14D64">
        <w:trPr>
          <w:trHeight w:val="234"/>
        </w:trPr>
        <w:tc>
          <w:tcPr>
            <w:tcW w:w="4244" w:type="dxa"/>
          </w:tcPr>
          <w:p w:rsidR="00A34974" w:rsidRPr="00043638" w:rsidRDefault="00A34974" w:rsidP="00D14D64">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Total cost to practice</w:t>
            </w:r>
          </w:p>
        </w:tc>
        <w:tc>
          <w:tcPr>
            <w:tcW w:w="1764"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£3.48</w:t>
            </w:r>
          </w:p>
        </w:tc>
        <w:tc>
          <w:tcPr>
            <w:tcW w:w="1764"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£3.56</w:t>
            </w:r>
          </w:p>
        </w:tc>
      </w:tr>
      <w:tr w:rsidR="00A34974" w:rsidRPr="00043638" w:rsidTr="00D14D64">
        <w:trPr>
          <w:trHeight w:val="140"/>
        </w:trPr>
        <w:tc>
          <w:tcPr>
            <w:tcW w:w="4244" w:type="dxa"/>
            <w:tcBorders>
              <w:bottom w:val="single" w:sz="4" w:space="0" w:color="auto"/>
            </w:tcBorders>
          </w:tcPr>
          <w:p w:rsidR="00A34974" w:rsidRPr="00043638" w:rsidRDefault="00A34974" w:rsidP="00D14D64">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Profit Per Dose (PPD) </w:t>
            </w:r>
          </w:p>
        </w:tc>
        <w:tc>
          <w:tcPr>
            <w:tcW w:w="1764" w:type="dxa"/>
            <w:tcBorders>
              <w:bottom w:val="single" w:sz="4" w:space="0" w:color="auto"/>
            </w:tcBorders>
          </w:tcPr>
          <w:p w:rsidR="00A34974" w:rsidRPr="00043638" w:rsidRDefault="00A34974" w:rsidP="00D14D64">
            <w:pPr>
              <w:autoSpaceDE w:val="0"/>
              <w:autoSpaceDN w:val="0"/>
              <w:adjustRightInd w:val="0"/>
              <w:spacing w:after="0" w:line="240" w:lineRule="auto"/>
              <w:ind w:left="-100"/>
              <w:jc w:val="center"/>
              <w:rPr>
                <w:rFonts w:ascii="Calibri" w:hAnsi="Calibri" w:cs="Calibri"/>
                <w:b/>
                <w:color w:val="000000"/>
                <w:sz w:val="28"/>
                <w:szCs w:val="24"/>
              </w:rPr>
            </w:pPr>
            <w:r w:rsidRPr="00043638">
              <w:rPr>
                <w:rFonts w:ascii="Calibri" w:hAnsi="Calibri" w:cs="Calibri"/>
                <w:b/>
                <w:color w:val="000000"/>
                <w:sz w:val="28"/>
                <w:szCs w:val="24"/>
              </w:rPr>
              <w:t>£</w:t>
            </w:r>
            <w:r w:rsidR="000743BC">
              <w:rPr>
                <w:rFonts w:ascii="Calibri" w:hAnsi="Calibri" w:cs="Calibri"/>
                <w:b/>
                <w:color w:val="000000"/>
                <w:sz w:val="28"/>
                <w:szCs w:val="24"/>
              </w:rPr>
              <w:t>6.84</w:t>
            </w:r>
          </w:p>
        </w:tc>
        <w:tc>
          <w:tcPr>
            <w:tcW w:w="1764" w:type="dxa"/>
            <w:tcBorders>
              <w:bottom w:val="single" w:sz="4" w:space="0" w:color="auto"/>
            </w:tcBorders>
          </w:tcPr>
          <w:p w:rsidR="00A34974" w:rsidRPr="00043638" w:rsidRDefault="000743BC" w:rsidP="00D14D64">
            <w:pPr>
              <w:autoSpaceDE w:val="0"/>
              <w:autoSpaceDN w:val="0"/>
              <w:adjustRightInd w:val="0"/>
              <w:spacing w:after="0" w:line="240" w:lineRule="auto"/>
              <w:ind w:left="-100"/>
              <w:jc w:val="center"/>
              <w:rPr>
                <w:rFonts w:ascii="Calibri" w:hAnsi="Calibri" w:cs="Calibri"/>
                <w:b/>
                <w:color w:val="000000"/>
                <w:sz w:val="28"/>
                <w:szCs w:val="24"/>
              </w:rPr>
            </w:pPr>
            <w:r>
              <w:rPr>
                <w:rFonts w:ascii="Calibri" w:hAnsi="Calibri" w:cs="Calibri"/>
                <w:b/>
                <w:color w:val="000000"/>
                <w:sz w:val="28"/>
                <w:szCs w:val="24"/>
              </w:rPr>
              <w:t>£6.76</w:t>
            </w:r>
          </w:p>
        </w:tc>
      </w:tr>
    </w:tbl>
    <w:p w:rsidR="00A34974" w:rsidRDefault="00A34974" w:rsidP="00A34974">
      <w:pPr>
        <w:spacing w:after="0" w:line="240" w:lineRule="auto"/>
        <w:jc w:val="center"/>
        <w:rPr>
          <w:rFonts w:eastAsia="Times New Roman" w:cstheme="minorHAnsi"/>
          <w:b/>
          <w:sz w:val="32"/>
          <w:szCs w:val="32"/>
          <w:lang w:eastAsia="en-GB"/>
        </w:rPr>
      </w:pPr>
    </w:p>
    <w:p w:rsidR="00A34974" w:rsidRPr="00043638" w:rsidRDefault="00A34974" w:rsidP="00A34974">
      <w:pPr>
        <w:spacing w:after="0" w:line="240" w:lineRule="auto"/>
        <w:rPr>
          <w:rFonts w:eastAsia="Times New Roman" w:cstheme="minorHAnsi"/>
          <w:sz w:val="32"/>
          <w:szCs w:val="32"/>
          <w:lang w:eastAsia="en-GB"/>
        </w:rPr>
      </w:pPr>
      <w:r w:rsidRPr="00043638">
        <w:rPr>
          <w:rFonts w:eastAsia="Times New Roman" w:cstheme="minorHAnsi"/>
          <w:b/>
          <w:sz w:val="32"/>
          <w:szCs w:val="32"/>
          <w:lang w:eastAsia="en-GB"/>
        </w:rPr>
        <w:t xml:space="preserve">Influvac </w:t>
      </w:r>
      <w:r w:rsidRPr="00043638">
        <w:rPr>
          <w:rFonts w:eastAsia="Times New Roman" w:cstheme="minorHAnsi"/>
          <w:sz w:val="32"/>
          <w:szCs w:val="32"/>
          <w:lang w:eastAsia="en-GB"/>
        </w:rPr>
        <w:t>(low cost alternative)</w:t>
      </w:r>
    </w:p>
    <w:p w:rsidR="00A34974" w:rsidRPr="00043638" w:rsidRDefault="00A34974" w:rsidP="00A34974">
      <w:pPr>
        <w:spacing w:after="0" w:line="240" w:lineRule="auto"/>
        <w:jc w:val="center"/>
        <w:rPr>
          <w:rFonts w:eastAsia="Times New Roman" w:cstheme="minorHAnsi"/>
          <w:sz w:val="32"/>
          <w:szCs w:val="32"/>
          <w:lang w:eastAsia="en-GB"/>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725"/>
      </w:tblGrid>
      <w:tr w:rsidR="00A34974" w:rsidRPr="00043638" w:rsidTr="00D14D64">
        <w:trPr>
          <w:trHeight w:val="167"/>
        </w:trPr>
        <w:tc>
          <w:tcPr>
            <w:tcW w:w="5341" w:type="dxa"/>
          </w:tcPr>
          <w:p w:rsidR="00A34974" w:rsidRPr="00043638" w:rsidRDefault="00A34974" w:rsidP="00D14D64">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NHS Price</w:t>
            </w:r>
          </w:p>
        </w:tc>
        <w:tc>
          <w:tcPr>
            <w:tcW w:w="1725"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£5.22</w:t>
            </w:r>
          </w:p>
        </w:tc>
      </w:tr>
      <w:tr w:rsidR="00A34974" w:rsidRPr="00043638" w:rsidTr="00D14D64">
        <w:trPr>
          <w:trHeight w:val="190"/>
        </w:trPr>
        <w:tc>
          <w:tcPr>
            <w:tcW w:w="5341" w:type="dxa"/>
          </w:tcPr>
          <w:p w:rsidR="00A34974" w:rsidRPr="00043638" w:rsidRDefault="00A34974" w:rsidP="00D14D64">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Dispensing Fee*</w:t>
            </w:r>
          </w:p>
        </w:tc>
        <w:tc>
          <w:tcPr>
            <w:tcW w:w="1725"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£2.40</w:t>
            </w:r>
            <w:r w:rsidR="003B5106">
              <w:rPr>
                <w:rFonts w:ascii="Calibri" w:hAnsi="Calibri" w:cs="Calibri"/>
                <w:color w:val="000000"/>
                <w:sz w:val="24"/>
                <w:szCs w:val="24"/>
              </w:rPr>
              <w:t>5</w:t>
            </w:r>
          </w:p>
        </w:tc>
      </w:tr>
      <w:tr w:rsidR="00A34974" w:rsidRPr="00043638" w:rsidTr="00D14D64">
        <w:trPr>
          <w:trHeight w:val="190"/>
        </w:trPr>
        <w:tc>
          <w:tcPr>
            <w:tcW w:w="5341" w:type="dxa"/>
          </w:tcPr>
          <w:p w:rsidR="00A34974" w:rsidRPr="00043638" w:rsidRDefault="00A34974" w:rsidP="00D14D64">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VAT (20%)</w:t>
            </w:r>
          </w:p>
        </w:tc>
        <w:tc>
          <w:tcPr>
            <w:tcW w:w="1725"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£1.04</w:t>
            </w:r>
          </w:p>
        </w:tc>
      </w:tr>
      <w:tr w:rsidR="00A34974" w:rsidRPr="00043638" w:rsidTr="00D14D64">
        <w:trPr>
          <w:trHeight w:val="156"/>
        </w:trPr>
        <w:tc>
          <w:tcPr>
            <w:tcW w:w="5341" w:type="dxa"/>
          </w:tcPr>
          <w:p w:rsidR="00A34974" w:rsidRPr="00043638" w:rsidRDefault="00A34974" w:rsidP="00D14D64">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NHS Reimbursement </w:t>
            </w:r>
          </w:p>
        </w:tc>
        <w:tc>
          <w:tcPr>
            <w:tcW w:w="1725" w:type="dxa"/>
          </w:tcPr>
          <w:p w:rsidR="00A34974" w:rsidRPr="00043638" w:rsidRDefault="00A34974" w:rsidP="00D14D64">
            <w:pPr>
              <w:autoSpaceDE w:val="0"/>
              <w:autoSpaceDN w:val="0"/>
              <w:adjustRightInd w:val="0"/>
              <w:spacing w:after="0" w:line="240" w:lineRule="auto"/>
              <w:ind w:left="-100"/>
              <w:jc w:val="center"/>
              <w:rPr>
                <w:rFonts w:ascii="Calibri" w:hAnsi="Calibri" w:cs="Calibri"/>
                <w:b/>
                <w:color w:val="000000"/>
                <w:sz w:val="28"/>
                <w:szCs w:val="24"/>
              </w:rPr>
            </w:pPr>
            <w:r w:rsidRPr="00043638">
              <w:rPr>
                <w:rFonts w:ascii="Calibri" w:hAnsi="Calibri" w:cs="Calibri"/>
                <w:b/>
                <w:color w:val="000000"/>
                <w:sz w:val="28"/>
                <w:szCs w:val="24"/>
              </w:rPr>
              <w:t>£8.</w:t>
            </w:r>
            <w:r w:rsidR="000743BC">
              <w:rPr>
                <w:rFonts w:ascii="Calibri" w:hAnsi="Calibri" w:cs="Calibri"/>
                <w:b/>
                <w:color w:val="000000"/>
                <w:sz w:val="28"/>
                <w:szCs w:val="24"/>
              </w:rPr>
              <w:t>67</w:t>
            </w:r>
          </w:p>
        </w:tc>
      </w:tr>
      <w:tr w:rsidR="00A34974" w:rsidRPr="00043638" w:rsidTr="00D14D64">
        <w:trPr>
          <w:trHeight w:val="156"/>
        </w:trPr>
        <w:tc>
          <w:tcPr>
            <w:tcW w:w="5341" w:type="dxa"/>
          </w:tcPr>
          <w:p w:rsidR="00A34974" w:rsidRPr="00043638" w:rsidRDefault="00A34974" w:rsidP="00D14D64">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Actual cost after discount (43%)</w:t>
            </w:r>
          </w:p>
        </w:tc>
        <w:tc>
          <w:tcPr>
            <w:tcW w:w="1725"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£2.98</w:t>
            </w:r>
          </w:p>
        </w:tc>
      </w:tr>
      <w:tr w:rsidR="00A34974" w:rsidRPr="00043638" w:rsidTr="00D14D64">
        <w:trPr>
          <w:trHeight w:val="140"/>
        </w:trPr>
        <w:tc>
          <w:tcPr>
            <w:tcW w:w="5341" w:type="dxa"/>
          </w:tcPr>
          <w:p w:rsidR="00A34974" w:rsidRPr="00043638" w:rsidRDefault="00A34974" w:rsidP="00D14D64">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VAT (20%)</w:t>
            </w:r>
          </w:p>
        </w:tc>
        <w:tc>
          <w:tcPr>
            <w:tcW w:w="1725"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£0.60</w:t>
            </w:r>
          </w:p>
        </w:tc>
      </w:tr>
      <w:tr w:rsidR="00A34974" w:rsidRPr="00043638" w:rsidTr="00D14D64">
        <w:trPr>
          <w:trHeight w:val="234"/>
        </w:trPr>
        <w:tc>
          <w:tcPr>
            <w:tcW w:w="5341" w:type="dxa"/>
          </w:tcPr>
          <w:p w:rsidR="00A34974" w:rsidRPr="00043638" w:rsidRDefault="00A34974" w:rsidP="00D14D64">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Total cost to practice</w:t>
            </w:r>
          </w:p>
        </w:tc>
        <w:tc>
          <w:tcPr>
            <w:tcW w:w="1725" w:type="dxa"/>
          </w:tcPr>
          <w:p w:rsidR="00A34974" w:rsidRPr="00043638" w:rsidRDefault="00A34974" w:rsidP="00D14D64">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£3.58</w:t>
            </w:r>
          </w:p>
        </w:tc>
      </w:tr>
      <w:tr w:rsidR="00A34974" w:rsidRPr="00043638" w:rsidTr="00D14D64">
        <w:trPr>
          <w:trHeight w:val="140"/>
        </w:trPr>
        <w:tc>
          <w:tcPr>
            <w:tcW w:w="5341" w:type="dxa"/>
            <w:tcBorders>
              <w:bottom w:val="single" w:sz="4" w:space="0" w:color="auto"/>
            </w:tcBorders>
          </w:tcPr>
          <w:p w:rsidR="00A34974" w:rsidRPr="00043638" w:rsidRDefault="00A34974" w:rsidP="00D14D64">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Profit Per Dose (PPD) </w:t>
            </w:r>
          </w:p>
        </w:tc>
        <w:tc>
          <w:tcPr>
            <w:tcW w:w="1725" w:type="dxa"/>
            <w:tcBorders>
              <w:bottom w:val="single" w:sz="4" w:space="0" w:color="auto"/>
            </w:tcBorders>
          </w:tcPr>
          <w:p w:rsidR="00A34974" w:rsidRPr="00043638" w:rsidRDefault="00A34974" w:rsidP="00D14D64">
            <w:pPr>
              <w:autoSpaceDE w:val="0"/>
              <w:autoSpaceDN w:val="0"/>
              <w:adjustRightInd w:val="0"/>
              <w:spacing w:after="0" w:line="240" w:lineRule="auto"/>
              <w:ind w:left="-100"/>
              <w:jc w:val="center"/>
              <w:rPr>
                <w:rFonts w:ascii="Calibri" w:hAnsi="Calibri" w:cs="Calibri"/>
                <w:b/>
                <w:color w:val="000000"/>
                <w:sz w:val="28"/>
                <w:szCs w:val="24"/>
              </w:rPr>
            </w:pPr>
            <w:r w:rsidRPr="00043638">
              <w:rPr>
                <w:rFonts w:ascii="Calibri" w:hAnsi="Calibri" w:cs="Calibri"/>
                <w:b/>
                <w:color w:val="000000"/>
                <w:sz w:val="28"/>
                <w:szCs w:val="24"/>
              </w:rPr>
              <w:t>£</w:t>
            </w:r>
            <w:r w:rsidR="000743BC">
              <w:rPr>
                <w:rFonts w:ascii="Calibri" w:hAnsi="Calibri" w:cs="Calibri"/>
                <w:b/>
                <w:color w:val="000000"/>
                <w:sz w:val="28"/>
                <w:szCs w:val="24"/>
              </w:rPr>
              <w:t>5.09</w:t>
            </w:r>
          </w:p>
        </w:tc>
      </w:tr>
    </w:tbl>
    <w:p w:rsidR="00A34974" w:rsidRPr="00032990" w:rsidRDefault="00A34974" w:rsidP="00A34974">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2016 (see separate table).</w:t>
      </w:r>
    </w:p>
    <w:p w:rsidR="00A34974" w:rsidRDefault="00A34974" w:rsidP="00A34974">
      <w:pPr>
        <w:spacing w:after="0" w:line="240" w:lineRule="auto"/>
        <w:rPr>
          <w:rFonts w:ascii="Arial" w:eastAsia="Times New Roman" w:hAnsi="Arial" w:cs="Arial"/>
          <w:b/>
          <w:bCs/>
          <w:color w:val="000000" w:themeColor="text1"/>
          <w:sz w:val="28"/>
          <w:szCs w:val="28"/>
        </w:rPr>
      </w:pPr>
    </w:p>
    <w:p w:rsidR="00A70BCA" w:rsidRDefault="00A70BCA" w:rsidP="00A70BCA">
      <w:pPr>
        <w:pStyle w:val="NoSpacing"/>
      </w:pPr>
      <w:r w:rsidRPr="00253888">
        <w:t>M</w:t>
      </w:r>
      <w:r>
        <w:t>ylan</w:t>
      </w:r>
      <w:r w:rsidRPr="00253888">
        <w:t xml:space="preserve">’s offer also includes: </w:t>
      </w:r>
    </w:p>
    <w:p w:rsidR="00A70BCA" w:rsidRDefault="00A70BCA" w:rsidP="00A70BCA">
      <w:pPr>
        <w:pStyle w:val="NoSpacing"/>
      </w:pPr>
    </w:p>
    <w:p w:rsidR="00A70BCA" w:rsidRPr="00A70BCA" w:rsidRDefault="00A70BCA" w:rsidP="00A70BCA">
      <w:pPr>
        <w:pStyle w:val="NoSpacing"/>
        <w:numPr>
          <w:ilvl w:val="0"/>
          <w:numId w:val="3"/>
        </w:numPr>
      </w:pPr>
      <w:r w:rsidRPr="00A70BCA">
        <w:t>Delivery dates available from week commencing 11 September 2017</w:t>
      </w:r>
    </w:p>
    <w:p w:rsidR="00A70BCA" w:rsidRPr="00A70BCA" w:rsidRDefault="00A70BCA" w:rsidP="00A70BCA">
      <w:pPr>
        <w:pStyle w:val="NoSpacing"/>
        <w:numPr>
          <w:ilvl w:val="0"/>
          <w:numId w:val="3"/>
        </w:numPr>
      </w:pPr>
      <w:r>
        <w:t>Payment by 31</w:t>
      </w:r>
      <w:r w:rsidRPr="00A70BCA">
        <w:t xml:space="preserve"> January 2018</w:t>
      </w:r>
    </w:p>
    <w:p w:rsidR="00A70BCA" w:rsidRDefault="00A70BCA" w:rsidP="00A70BCA">
      <w:pPr>
        <w:pStyle w:val="NoSpacing"/>
        <w:numPr>
          <w:ilvl w:val="0"/>
          <w:numId w:val="3"/>
        </w:numPr>
      </w:pPr>
      <w:r w:rsidRPr="00A70BCA">
        <w:t>20% sale or return completed by 31 March 2018</w:t>
      </w:r>
    </w:p>
    <w:p w:rsidR="00A70BCA" w:rsidRDefault="00A70BCA" w:rsidP="00A70BCA">
      <w:pPr>
        <w:pStyle w:val="NoSpacing"/>
        <w:numPr>
          <w:ilvl w:val="0"/>
          <w:numId w:val="3"/>
        </w:numPr>
      </w:pPr>
      <w:r>
        <w:t>Support materials</w:t>
      </w:r>
    </w:p>
    <w:p w:rsidR="00A70BCA" w:rsidRDefault="00A70BCA" w:rsidP="00A70BCA">
      <w:pPr>
        <w:pStyle w:val="NoSpacing"/>
        <w:numPr>
          <w:ilvl w:val="0"/>
          <w:numId w:val="3"/>
        </w:numPr>
      </w:pPr>
      <w:r>
        <w:t>Dedicated account manager</w:t>
      </w:r>
    </w:p>
    <w:p w:rsidR="00A70BCA" w:rsidRDefault="00A70BCA" w:rsidP="00A34974">
      <w:pPr>
        <w:spacing w:after="0" w:line="240" w:lineRule="auto"/>
        <w:rPr>
          <w:rFonts w:ascii="Arial" w:eastAsia="Times New Roman" w:hAnsi="Arial" w:cs="Arial"/>
          <w:b/>
          <w:bCs/>
          <w:color w:val="000000" w:themeColor="text1"/>
          <w:sz w:val="28"/>
          <w:szCs w:val="28"/>
        </w:rPr>
      </w:pPr>
    </w:p>
    <w:p w:rsidR="00A34974" w:rsidRDefault="00A34974" w:rsidP="00A34974">
      <w:pPr>
        <w:rPr>
          <w:rFonts w:cstheme="minorHAnsi"/>
          <w:b/>
          <w:sz w:val="28"/>
        </w:rPr>
      </w:pPr>
      <w:r w:rsidRPr="00C46C05">
        <w:rPr>
          <w:rFonts w:cstheme="minorHAnsi"/>
          <w:b/>
          <w:sz w:val="28"/>
        </w:rPr>
        <w:t>Contact Us</w:t>
      </w:r>
    </w:p>
    <w:p w:rsidR="00A34974" w:rsidRPr="006155E4" w:rsidRDefault="00A34974" w:rsidP="00A34974">
      <w:pPr>
        <w:pStyle w:val="NoSpacing"/>
        <w:rPr>
          <w:rFonts w:eastAsia="Times New Roman" w:cstheme="minorHAnsi"/>
          <w:sz w:val="24"/>
          <w:szCs w:val="24"/>
        </w:rPr>
      </w:pPr>
      <w:r w:rsidRPr="00047D09">
        <w:rPr>
          <w:rFonts w:cstheme="minorHAnsi"/>
        </w:rPr>
        <w:t xml:space="preserve">Tel: 0800 358 7468; Email: </w:t>
      </w:r>
      <w:r w:rsidRPr="00047D09">
        <w:rPr>
          <w:rStyle w:val="Hyperlink"/>
          <w:rFonts w:cstheme="minorHAnsi"/>
        </w:rPr>
        <w:t>flu@mylan.com</w:t>
      </w:r>
    </w:p>
    <w:p w:rsidR="00BA472B" w:rsidRDefault="00BA472B" w:rsidP="00BA472B">
      <w:pPr>
        <w:pStyle w:val="NoSpacing"/>
        <w:rPr>
          <w:sz w:val="24"/>
        </w:rPr>
      </w:pPr>
    </w:p>
    <w:p w:rsidR="00DB18DC" w:rsidRDefault="00DB18DC" w:rsidP="00BA472B">
      <w:pPr>
        <w:pStyle w:val="NoSpacing"/>
        <w:rPr>
          <w:sz w:val="24"/>
        </w:rPr>
      </w:pPr>
    </w:p>
    <w:p w:rsidR="00DB18DC" w:rsidRDefault="00DB18DC" w:rsidP="00BA472B">
      <w:pPr>
        <w:pStyle w:val="NoSpacing"/>
        <w:rPr>
          <w:sz w:val="24"/>
        </w:rPr>
      </w:pPr>
    </w:p>
    <w:p w:rsidR="00DB18DC" w:rsidRDefault="00DB18DC" w:rsidP="00BA472B">
      <w:pPr>
        <w:pStyle w:val="NoSpacing"/>
        <w:rPr>
          <w:sz w:val="24"/>
        </w:rPr>
      </w:pPr>
    </w:p>
    <w:p w:rsidR="00DB18DC" w:rsidRDefault="00DB18DC" w:rsidP="00BA472B">
      <w:pPr>
        <w:pStyle w:val="NoSpacing"/>
        <w:rPr>
          <w:sz w:val="24"/>
        </w:rPr>
      </w:pPr>
    </w:p>
    <w:p w:rsidR="00DB18DC" w:rsidRPr="00DB18DC" w:rsidRDefault="00DB18DC" w:rsidP="00DB18DC">
      <w:pPr>
        <w:autoSpaceDE w:val="0"/>
        <w:autoSpaceDN w:val="0"/>
        <w:adjustRightInd w:val="0"/>
        <w:spacing w:after="0" w:line="240" w:lineRule="auto"/>
        <w:jc w:val="center"/>
        <w:rPr>
          <w:rFonts w:ascii="Calibri" w:eastAsia="Calibri" w:hAnsi="Calibri" w:cs="Times New Roman"/>
          <w:sz w:val="28"/>
          <w:lang w:val="en-US"/>
        </w:rPr>
      </w:pPr>
      <w:r w:rsidRPr="00DB18DC">
        <w:rPr>
          <w:rFonts w:ascii="Calibri" w:eastAsia="Calibri" w:hAnsi="Calibri" w:cs="Times New Roman"/>
          <w:b/>
          <w:bCs/>
          <w:sz w:val="36"/>
          <w:lang w:val="en-US"/>
        </w:rPr>
        <w:lastRenderedPageBreak/>
        <w:t>Dispensing payments</w:t>
      </w:r>
    </w:p>
    <w:p w:rsidR="00DB18DC" w:rsidRPr="00DB18DC" w:rsidRDefault="00DB18DC" w:rsidP="00DB18DC">
      <w:pPr>
        <w:autoSpaceDE w:val="0"/>
        <w:autoSpaceDN w:val="0"/>
        <w:adjustRightInd w:val="0"/>
        <w:spacing w:after="0" w:line="240" w:lineRule="auto"/>
        <w:jc w:val="center"/>
        <w:rPr>
          <w:rFonts w:ascii="Calibri" w:eastAsia="Times New Roman" w:hAnsi="Calibri" w:cs="Times New Roman"/>
          <w:sz w:val="28"/>
        </w:rPr>
      </w:pPr>
      <w:r w:rsidRPr="00DB18DC">
        <w:rPr>
          <w:rFonts w:ascii="Calibri" w:eastAsia="Times New Roman" w:hAnsi="Calibri" w:cs="Times New Roman"/>
          <w:sz w:val="28"/>
        </w:rPr>
        <w:t>Discount scale (from October 2016)</w:t>
      </w:r>
    </w:p>
    <w:p w:rsidR="00DB18DC" w:rsidRPr="00DB18DC" w:rsidRDefault="00DB18DC" w:rsidP="00DB18DC">
      <w:pPr>
        <w:autoSpaceDE w:val="0"/>
        <w:autoSpaceDN w:val="0"/>
        <w:adjustRightInd w:val="0"/>
        <w:spacing w:after="0" w:line="240" w:lineRule="auto"/>
        <w:jc w:val="center"/>
        <w:rPr>
          <w:rFonts w:cstheme="minorHAnsi"/>
          <w:b/>
          <w:bCs/>
          <w:color w:val="000000"/>
          <w:sz w:val="28"/>
        </w:rPr>
      </w:pPr>
    </w:p>
    <w:p w:rsidR="00DB18DC" w:rsidRPr="00DB18DC" w:rsidRDefault="00DB18DC" w:rsidP="00DB18DC">
      <w:pPr>
        <w:autoSpaceDE w:val="0"/>
        <w:autoSpaceDN w:val="0"/>
        <w:adjustRightInd w:val="0"/>
        <w:spacing w:after="0" w:line="240" w:lineRule="auto"/>
        <w:rPr>
          <w:rFonts w:cstheme="minorHAnsi"/>
          <w:b/>
          <w:bCs/>
          <w:color w:val="000000"/>
          <w:sz w:val="24"/>
        </w:rPr>
      </w:pPr>
      <w:r w:rsidRPr="00DB18DC">
        <w:rPr>
          <w:rFonts w:cstheme="minorHAnsi"/>
          <w:b/>
          <w:bCs/>
          <w:color w:val="000000"/>
          <w:sz w:val="24"/>
        </w:rPr>
        <w:t xml:space="preserve">Table 1: Dispensing Feescale for Contractors that are authorised or required to provide dispensing services </w:t>
      </w:r>
    </w:p>
    <w:p w:rsidR="00DB18DC" w:rsidRPr="00DB18DC" w:rsidRDefault="00DB18DC" w:rsidP="00DB18DC">
      <w:pPr>
        <w:autoSpaceDE w:val="0"/>
        <w:autoSpaceDN w:val="0"/>
        <w:adjustRightInd w:val="0"/>
        <w:spacing w:after="0" w:line="240" w:lineRule="auto"/>
        <w:rPr>
          <w:rFonts w:ascii="Arial" w:hAnsi="Arial" w:cs="Arial"/>
          <w:color w:val="000000"/>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60"/>
        <w:gridCol w:w="2431"/>
      </w:tblGrid>
      <w:tr w:rsidR="00DB18DC" w:rsidRPr="00DB18DC" w:rsidTr="001B0CAC">
        <w:trPr>
          <w:trHeight w:val="737"/>
        </w:trPr>
        <w:tc>
          <w:tcPr>
            <w:tcW w:w="4460" w:type="dxa"/>
            <w:tcBorders>
              <w:top w:val="single" w:sz="8" w:space="0" w:color="000000"/>
              <w:left w:val="single" w:sz="8" w:space="0" w:color="000000"/>
              <w:bottom w:val="single" w:sz="8" w:space="0" w:color="000000"/>
              <w:right w:val="single" w:sz="8" w:space="0" w:color="000000"/>
            </w:tcBorders>
          </w:tcPr>
          <w:p w:rsidR="00DB18DC" w:rsidRPr="00DB18DC" w:rsidRDefault="00DB18DC" w:rsidP="00DB18DC">
            <w:pPr>
              <w:autoSpaceDE w:val="0"/>
              <w:autoSpaceDN w:val="0"/>
              <w:adjustRightInd w:val="0"/>
              <w:spacing w:after="0" w:line="240" w:lineRule="auto"/>
              <w:rPr>
                <w:rFonts w:cstheme="minorHAnsi"/>
                <w:color w:val="000000"/>
                <w:szCs w:val="20"/>
              </w:rPr>
            </w:pPr>
            <w:r w:rsidRPr="00DB18DC">
              <w:rPr>
                <w:rFonts w:cstheme="minorHAnsi"/>
                <w:b/>
                <w:bCs/>
                <w:color w:val="000000"/>
                <w:sz w:val="24"/>
                <w:szCs w:val="20"/>
              </w:rPr>
              <w:t xml:space="preserve">Total prescriptions calculated separately for each individual dispensing practitioner, in bands </w:t>
            </w:r>
          </w:p>
        </w:tc>
        <w:tc>
          <w:tcPr>
            <w:tcW w:w="2431" w:type="dxa"/>
            <w:tcBorders>
              <w:top w:val="single" w:sz="8" w:space="0" w:color="000000"/>
              <w:left w:val="single" w:sz="6" w:space="0" w:color="000000"/>
              <w:bottom w:val="single" w:sz="8" w:space="0" w:color="000000"/>
              <w:right w:val="single" w:sz="8" w:space="0" w:color="000000"/>
            </w:tcBorders>
          </w:tcPr>
          <w:p w:rsidR="00DB18DC" w:rsidRPr="00DB18DC" w:rsidRDefault="00DB18DC" w:rsidP="00DB18DC">
            <w:pPr>
              <w:autoSpaceDE w:val="0"/>
              <w:autoSpaceDN w:val="0"/>
              <w:adjustRightInd w:val="0"/>
              <w:spacing w:after="0" w:line="240" w:lineRule="auto"/>
              <w:rPr>
                <w:rFonts w:cstheme="minorHAnsi"/>
                <w:color w:val="000000"/>
                <w:szCs w:val="20"/>
              </w:rPr>
            </w:pPr>
            <w:r w:rsidRPr="00DB18DC">
              <w:rPr>
                <w:rFonts w:cstheme="minorHAnsi"/>
                <w:b/>
                <w:bCs/>
                <w:color w:val="000000"/>
                <w:sz w:val="24"/>
                <w:szCs w:val="20"/>
              </w:rPr>
              <w:t xml:space="preserve">Prices per prescription in pence </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Up to 457</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230.8</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458 - 571</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227.5</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572 - 687</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224.5</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688 - 800</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221.6</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801 - 916</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219.0</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917 - 1029</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216.7</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1030 - 1430</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214.4</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1431 - 2001</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212.4</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2002 - 2287</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210.5</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2288 - 2859</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208.9</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2860 - 3430</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207.4</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3431 - 4002</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206.2</w:t>
            </w:r>
          </w:p>
        </w:tc>
      </w:tr>
      <w:tr w:rsidR="00DB18DC" w:rsidRPr="00DB18DC" w:rsidTr="001B0CAC">
        <w:trPr>
          <w:trHeight w:val="266"/>
        </w:trPr>
        <w:tc>
          <w:tcPr>
            <w:tcW w:w="4460" w:type="dxa"/>
            <w:tcBorders>
              <w:top w:val="single" w:sz="6" w:space="0" w:color="000000"/>
              <w:left w:val="single" w:sz="8" w:space="0" w:color="000000"/>
              <w:bottom w:val="single" w:sz="6"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4003 - 4572</w:t>
            </w:r>
          </w:p>
        </w:tc>
        <w:tc>
          <w:tcPr>
            <w:tcW w:w="2431" w:type="dxa"/>
            <w:tcBorders>
              <w:top w:val="single" w:sz="6" w:space="0" w:color="000000"/>
              <w:left w:val="single" w:sz="6" w:space="0" w:color="000000"/>
              <w:bottom w:val="single" w:sz="6"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205.1</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4573 and over</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204.4</w:t>
            </w:r>
          </w:p>
        </w:tc>
      </w:tr>
    </w:tbl>
    <w:p w:rsidR="00DB18DC" w:rsidRPr="00DB18DC" w:rsidRDefault="00DB18DC" w:rsidP="00DB18DC">
      <w:pPr>
        <w:spacing w:after="0" w:line="240" w:lineRule="auto"/>
        <w:rPr>
          <w:rFonts w:ascii="Arial" w:eastAsia="Times New Roman" w:hAnsi="Arial" w:cs="Times New Roman"/>
          <w:szCs w:val="20"/>
        </w:rPr>
      </w:pPr>
    </w:p>
    <w:p w:rsidR="00DB18DC" w:rsidRPr="00DB18DC" w:rsidRDefault="00DB18DC" w:rsidP="00DB18DC">
      <w:pPr>
        <w:autoSpaceDE w:val="0"/>
        <w:autoSpaceDN w:val="0"/>
        <w:adjustRightInd w:val="0"/>
        <w:spacing w:after="0" w:line="240" w:lineRule="auto"/>
        <w:rPr>
          <w:rFonts w:cstheme="minorHAnsi"/>
          <w:b/>
          <w:bCs/>
          <w:color w:val="000000"/>
        </w:rPr>
      </w:pPr>
      <w:r w:rsidRPr="00DB18DC">
        <w:rPr>
          <w:rFonts w:cstheme="minorHAnsi"/>
          <w:b/>
          <w:bCs/>
          <w:color w:val="000000"/>
        </w:rPr>
        <w:t>Table 2: Dispensing Feescale for Contractors that are not authorised or required to provide dispensing services*</w:t>
      </w:r>
    </w:p>
    <w:p w:rsidR="00DB18DC" w:rsidRPr="00DB18DC" w:rsidRDefault="00DB18DC" w:rsidP="00DB18DC">
      <w:pPr>
        <w:autoSpaceDE w:val="0"/>
        <w:autoSpaceDN w:val="0"/>
        <w:adjustRightInd w:val="0"/>
        <w:spacing w:after="0" w:line="240" w:lineRule="auto"/>
        <w:rPr>
          <w:rFonts w:cstheme="minorHAnsi"/>
          <w:color w:val="000000"/>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60"/>
        <w:gridCol w:w="2431"/>
      </w:tblGrid>
      <w:tr w:rsidR="00DB18DC" w:rsidRPr="00DB18DC" w:rsidTr="001B0CAC">
        <w:trPr>
          <w:trHeight w:val="738"/>
        </w:trPr>
        <w:tc>
          <w:tcPr>
            <w:tcW w:w="4460" w:type="dxa"/>
            <w:tcBorders>
              <w:top w:val="single" w:sz="8" w:space="0" w:color="000000"/>
              <w:left w:val="single" w:sz="8" w:space="0" w:color="000000"/>
              <w:bottom w:val="single" w:sz="8" w:space="0" w:color="000000"/>
              <w:right w:val="single" w:sz="8" w:space="0" w:color="000000"/>
            </w:tcBorders>
          </w:tcPr>
          <w:p w:rsidR="00DB18DC" w:rsidRPr="00DB18DC" w:rsidRDefault="00DB18DC" w:rsidP="00DB18DC">
            <w:pPr>
              <w:autoSpaceDE w:val="0"/>
              <w:autoSpaceDN w:val="0"/>
              <w:adjustRightInd w:val="0"/>
              <w:spacing w:after="0" w:line="240" w:lineRule="auto"/>
              <w:rPr>
                <w:rFonts w:cstheme="minorHAnsi"/>
                <w:color w:val="000000"/>
              </w:rPr>
            </w:pPr>
            <w:r w:rsidRPr="00DB18DC">
              <w:rPr>
                <w:rFonts w:cstheme="minorHAnsi"/>
                <w:b/>
                <w:bCs/>
                <w:color w:val="000000"/>
              </w:rPr>
              <w:t xml:space="preserve">Total prescriptions calculated separately for each individual dispensing practitioner, in bands </w:t>
            </w:r>
          </w:p>
        </w:tc>
        <w:tc>
          <w:tcPr>
            <w:tcW w:w="2431" w:type="dxa"/>
            <w:tcBorders>
              <w:top w:val="single" w:sz="8" w:space="0" w:color="000000"/>
              <w:left w:val="single" w:sz="6" w:space="0" w:color="000000"/>
              <w:bottom w:val="single" w:sz="8" w:space="0" w:color="000000"/>
              <w:right w:val="single" w:sz="8" w:space="0" w:color="000000"/>
            </w:tcBorders>
          </w:tcPr>
          <w:p w:rsidR="00DB18DC" w:rsidRPr="00DB18DC" w:rsidRDefault="00DB18DC" w:rsidP="00DB18DC">
            <w:pPr>
              <w:autoSpaceDE w:val="0"/>
              <w:autoSpaceDN w:val="0"/>
              <w:adjustRightInd w:val="0"/>
              <w:spacing w:after="0" w:line="240" w:lineRule="auto"/>
              <w:rPr>
                <w:rFonts w:cstheme="minorHAnsi"/>
                <w:color w:val="000000"/>
              </w:rPr>
            </w:pPr>
            <w:r w:rsidRPr="00DB18DC">
              <w:rPr>
                <w:rFonts w:cstheme="minorHAnsi"/>
                <w:b/>
                <w:bCs/>
                <w:color w:val="000000"/>
              </w:rPr>
              <w:t xml:space="preserve">Prices per prescription in pence </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Up to 457</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240.5</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458 - 571</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237.2</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572 - 687</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234.2</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688 - 800</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231.3</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801 - 916</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228.8</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917 - 1029</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226.4</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1030 - 1430</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224.1</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1431 - 2001</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222.1</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2002 - 2287</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220.2</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2288 - 2859</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218.6</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2860 - 3430</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217.1</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3431 - 4002</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215.9</w:t>
            </w:r>
          </w:p>
        </w:tc>
      </w:tr>
      <w:tr w:rsidR="00DB18DC" w:rsidRPr="00DB18DC" w:rsidTr="001B0CAC">
        <w:trPr>
          <w:trHeight w:val="266"/>
        </w:trPr>
        <w:tc>
          <w:tcPr>
            <w:tcW w:w="4460" w:type="dxa"/>
            <w:tcBorders>
              <w:top w:val="single" w:sz="6" w:space="0" w:color="000000"/>
              <w:left w:val="single" w:sz="8" w:space="0" w:color="000000"/>
              <w:bottom w:val="single" w:sz="6"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4003 - 4572</w:t>
            </w:r>
          </w:p>
        </w:tc>
        <w:tc>
          <w:tcPr>
            <w:tcW w:w="2431" w:type="dxa"/>
            <w:tcBorders>
              <w:top w:val="single" w:sz="6" w:space="0" w:color="000000"/>
              <w:left w:val="single" w:sz="6" w:space="0" w:color="000000"/>
              <w:bottom w:val="single" w:sz="6"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214.8</w:t>
            </w:r>
          </w:p>
        </w:tc>
      </w:tr>
      <w:tr w:rsidR="00DB18DC" w:rsidRPr="00DB18DC" w:rsidTr="001B0CAC">
        <w:trPr>
          <w:trHeight w:val="266"/>
        </w:trPr>
        <w:tc>
          <w:tcPr>
            <w:tcW w:w="4460" w:type="dxa"/>
            <w:tcBorders>
              <w:top w:val="single" w:sz="6" w:space="0" w:color="000000"/>
              <w:left w:val="single" w:sz="8"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4573 and over</w:t>
            </w:r>
          </w:p>
        </w:tc>
        <w:tc>
          <w:tcPr>
            <w:tcW w:w="2431" w:type="dxa"/>
            <w:tcBorders>
              <w:top w:val="single" w:sz="6" w:space="0" w:color="000000"/>
              <w:left w:val="single" w:sz="6" w:space="0" w:color="000000"/>
              <w:bottom w:val="single" w:sz="8" w:space="0" w:color="000000"/>
              <w:right w:val="single" w:sz="8" w:space="0" w:color="000000"/>
            </w:tcBorders>
          </w:tcPr>
          <w:p w:rsidR="00DB18DC" w:rsidRPr="00DB18DC" w:rsidRDefault="00DB18DC" w:rsidP="00DB18DC">
            <w:pPr>
              <w:spacing w:after="0" w:line="240" w:lineRule="auto"/>
              <w:rPr>
                <w:rFonts w:eastAsia="Times New Roman" w:cs="Times New Roman"/>
                <w:sz w:val="24"/>
                <w:szCs w:val="20"/>
              </w:rPr>
            </w:pPr>
            <w:r w:rsidRPr="00DB18DC">
              <w:rPr>
                <w:rFonts w:eastAsia="Times New Roman" w:cs="Times New Roman"/>
                <w:sz w:val="24"/>
                <w:szCs w:val="20"/>
              </w:rPr>
              <w:t>214.0</w:t>
            </w:r>
          </w:p>
        </w:tc>
      </w:tr>
    </w:tbl>
    <w:p w:rsidR="00DB18DC" w:rsidRPr="00DB18DC" w:rsidRDefault="00DB18DC" w:rsidP="00DB18DC">
      <w:pPr>
        <w:spacing w:after="0" w:line="240" w:lineRule="auto"/>
        <w:rPr>
          <w:rFonts w:ascii="Arial" w:eastAsia="Times New Roman" w:hAnsi="Arial" w:cs="Times New Roman"/>
          <w:szCs w:val="20"/>
        </w:rPr>
      </w:pPr>
      <w:r w:rsidRPr="00DB18DC">
        <w:rPr>
          <w:rFonts w:ascii="Arial" w:eastAsia="Times New Roman" w:hAnsi="Arial" w:cs="Times New Roman"/>
          <w:szCs w:val="20"/>
        </w:rPr>
        <w:t xml:space="preserve">* </w:t>
      </w:r>
      <w:r w:rsidRPr="00DB18DC">
        <w:rPr>
          <w:rFonts w:eastAsia="Times New Roman" w:cstheme="minorHAnsi"/>
          <w:sz w:val="20"/>
          <w:szCs w:val="20"/>
        </w:rPr>
        <w:t xml:space="preserve">This includes prescribing doctors or non-dispensing doctors’ personal administration drugs. </w:t>
      </w:r>
    </w:p>
    <w:sectPr w:rsidR="00DB18DC" w:rsidRPr="00DB1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65F9"/>
    <w:multiLevelType w:val="hybridMultilevel"/>
    <w:tmpl w:val="A9A4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84F84"/>
    <w:multiLevelType w:val="hybridMultilevel"/>
    <w:tmpl w:val="69E0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41ADF"/>
    <w:multiLevelType w:val="hybridMultilevel"/>
    <w:tmpl w:val="28FC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4334E"/>
    <w:multiLevelType w:val="hybridMultilevel"/>
    <w:tmpl w:val="FDA2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B"/>
    <w:rsid w:val="0007227A"/>
    <w:rsid w:val="000743BC"/>
    <w:rsid w:val="000E0BF2"/>
    <w:rsid w:val="000E5C60"/>
    <w:rsid w:val="000E7A2C"/>
    <w:rsid w:val="00114078"/>
    <w:rsid w:val="001F63FF"/>
    <w:rsid w:val="00297EB6"/>
    <w:rsid w:val="002E567A"/>
    <w:rsid w:val="003B5106"/>
    <w:rsid w:val="004169D2"/>
    <w:rsid w:val="0048480E"/>
    <w:rsid w:val="0049798E"/>
    <w:rsid w:val="00530AE6"/>
    <w:rsid w:val="005417F8"/>
    <w:rsid w:val="00570E3B"/>
    <w:rsid w:val="00581738"/>
    <w:rsid w:val="008817A0"/>
    <w:rsid w:val="009734B3"/>
    <w:rsid w:val="0099308E"/>
    <w:rsid w:val="00A03A8F"/>
    <w:rsid w:val="00A34974"/>
    <w:rsid w:val="00A36222"/>
    <w:rsid w:val="00A5106F"/>
    <w:rsid w:val="00A6123D"/>
    <w:rsid w:val="00A70BCA"/>
    <w:rsid w:val="00AD1EB4"/>
    <w:rsid w:val="00AE4FA2"/>
    <w:rsid w:val="00BA472B"/>
    <w:rsid w:val="00BB53BA"/>
    <w:rsid w:val="00CD00C2"/>
    <w:rsid w:val="00D66552"/>
    <w:rsid w:val="00DB18DC"/>
    <w:rsid w:val="00E01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5275"/>
  <w15:chartTrackingRefBased/>
  <w15:docId w15:val="{A4032AA8-BAEC-4E1E-8305-36AD21A7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4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72B"/>
    <w:pPr>
      <w:spacing w:after="0" w:line="240" w:lineRule="auto"/>
    </w:pPr>
  </w:style>
  <w:style w:type="character" w:styleId="Hyperlink">
    <w:name w:val="Hyperlink"/>
    <w:basedOn w:val="DefaultParagraphFont"/>
    <w:uiPriority w:val="99"/>
    <w:unhideWhenUsed/>
    <w:rsid w:val="00E01160"/>
    <w:rPr>
      <w:color w:val="0563C1" w:themeColor="hyperlink"/>
      <w:u w:val="single"/>
    </w:rPr>
  </w:style>
  <w:style w:type="table" w:styleId="TableGrid">
    <w:name w:val="Table Grid"/>
    <w:basedOn w:val="TableNormal"/>
    <w:uiPriority w:val="59"/>
    <w:rsid w:val="00A34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cinesuk@pfizer.com" TargetMode="External"/><Relationship Id="rId3" Type="http://schemas.openxmlformats.org/officeDocument/2006/relationships/settings" Target="settings.xml"/><Relationship Id="rId7" Type="http://schemas.openxmlformats.org/officeDocument/2006/relationships/hyperlink" Target="mailto:vaccinesuk@pfiz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cbuyinggroups.co.uk/member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luteam@mas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Shuker</dc:creator>
  <cp:keywords/>
  <dc:description/>
  <cp:lastModifiedBy>Helen Shuker</cp:lastModifiedBy>
  <cp:revision>14</cp:revision>
  <dcterms:created xsi:type="dcterms:W3CDTF">2016-10-18T08:24:00Z</dcterms:created>
  <dcterms:modified xsi:type="dcterms:W3CDTF">2016-10-27T14:36:00Z</dcterms:modified>
</cp:coreProperties>
</file>