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8" w:type="dxa"/>
        <w:tblLayout w:type="fixed"/>
        <w:tblLook w:val="01E0" w:firstRow="1" w:lastRow="1" w:firstColumn="1" w:lastColumn="1" w:noHBand="0" w:noVBand="0"/>
      </w:tblPr>
      <w:tblGrid>
        <w:gridCol w:w="5099"/>
        <w:gridCol w:w="1841"/>
        <w:gridCol w:w="3848"/>
      </w:tblGrid>
      <w:tr w:rsidR="0084051E" w:rsidRPr="00ED4CC7" w:rsidTr="003F1BA0">
        <w:tc>
          <w:tcPr>
            <w:tcW w:w="5099" w:type="dxa"/>
            <w:vMerge w:val="restart"/>
            <w:shd w:val="clear" w:color="auto" w:fill="auto"/>
          </w:tcPr>
          <w:p w:rsidR="0084051E" w:rsidRPr="00ED4CC7" w:rsidRDefault="0084051E" w:rsidP="003F1BA0">
            <w:pPr>
              <w:spacing w:after="0" w:line="240" w:lineRule="auto"/>
              <w:rPr>
                <w:rFonts w:eastAsia="Times New Roman" w:cs="Arial"/>
                <w:szCs w:val="24"/>
              </w:rPr>
            </w:pPr>
            <w:bookmarkStart w:id="0" w:name="_GoBack"/>
            <w:bookmarkEnd w:id="0"/>
            <w:r w:rsidRPr="00ED4CC7">
              <w:rPr>
                <w:rFonts w:eastAsia="Times New Roman" w:cs="Arial"/>
                <w:szCs w:val="24"/>
              </w:rPr>
              <w:t xml:space="preserve">  </w:t>
            </w:r>
            <w:r w:rsidRPr="00ED4CC7">
              <w:rPr>
                <w:rFonts w:eastAsia="Times New Roman" w:cs="Arial"/>
                <w:noProof/>
                <w:szCs w:val="24"/>
                <w:lang w:eastAsia="en-GB"/>
              </w:rPr>
              <w:drawing>
                <wp:inline distT="0" distB="0" distL="0" distR="0" wp14:anchorId="3DCA8B3A" wp14:editId="1E4BFB3A">
                  <wp:extent cx="1135380" cy="914400"/>
                  <wp:effectExtent l="0" t="0" r="7620" b="0"/>
                  <wp:docPr id="2" name="Picture 2" descr="DWP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P_BLK_SML_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5380" cy="914400"/>
                          </a:xfrm>
                          <a:prstGeom prst="rect">
                            <a:avLst/>
                          </a:prstGeom>
                          <a:noFill/>
                          <a:ln>
                            <a:noFill/>
                          </a:ln>
                        </pic:spPr>
                      </pic:pic>
                    </a:graphicData>
                  </a:graphic>
                </wp:inline>
              </w:drawing>
            </w:r>
          </w:p>
        </w:tc>
        <w:tc>
          <w:tcPr>
            <w:tcW w:w="5689" w:type="dxa"/>
            <w:gridSpan w:val="2"/>
            <w:shd w:val="clear" w:color="auto" w:fill="auto"/>
          </w:tcPr>
          <w:p w:rsidR="0084051E" w:rsidRPr="00ED4CC7" w:rsidRDefault="0084051E" w:rsidP="003F1BA0">
            <w:pPr>
              <w:spacing w:after="0" w:line="240" w:lineRule="auto"/>
              <w:rPr>
                <w:rFonts w:eastAsia="Times New Roman" w:cs="Arial"/>
                <w:szCs w:val="24"/>
              </w:rPr>
            </w:pPr>
          </w:p>
          <w:p w:rsidR="0084051E" w:rsidRPr="00ED4CC7" w:rsidRDefault="0084051E" w:rsidP="003F1BA0">
            <w:pPr>
              <w:spacing w:after="0" w:line="240" w:lineRule="auto"/>
              <w:rPr>
                <w:rFonts w:eastAsia="Times New Roman" w:cs="Arial"/>
                <w:b/>
                <w:bCs/>
                <w:szCs w:val="24"/>
              </w:rPr>
            </w:pPr>
            <w:r w:rsidRPr="00ED4CC7">
              <w:rPr>
                <w:rFonts w:eastAsia="Times New Roman" w:cs="Arial"/>
                <w:b/>
                <w:bCs/>
                <w:szCs w:val="24"/>
              </w:rPr>
              <w:t>Dr Pui-Ling Li</w:t>
            </w:r>
          </w:p>
          <w:p w:rsidR="0084051E" w:rsidRPr="00ED4CC7" w:rsidRDefault="0084051E" w:rsidP="003F1BA0">
            <w:pPr>
              <w:spacing w:after="0" w:line="240" w:lineRule="auto"/>
              <w:rPr>
                <w:rFonts w:eastAsia="Times New Roman" w:cs="Arial"/>
                <w:b/>
                <w:bCs/>
                <w:szCs w:val="24"/>
              </w:rPr>
            </w:pPr>
            <w:r w:rsidRPr="00ED4CC7">
              <w:rPr>
                <w:rFonts w:eastAsia="Times New Roman" w:cs="Arial"/>
                <w:b/>
                <w:bCs/>
                <w:szCs w:val="24"/>
              </w:rPr>
              <w:t>Chief Medical Officer</w:t>
            </w:r>
          </w:p>
          <w:p w:rsidR="0084051E" w:rsidRPr="00ED4CC7" w:rsidRDefault="0084051E" w:rsidP="003F1BA0">
            <w:pPr>
              <w:spacing w:after="0" w:line="240" w:lineRule="auto"/>
              <w:rPr>
                <w:rFonts w:eastAsia="Times New Roman" w:cs="Arial"/>
                <w:szCs w:val="24"/>
              </w:rPr>
            </w:pPr>
          </w:p>
          <w:p w:rsidR="0084051E" w:rsidRPr="00ED4CC7" w:rsidRDefault="0084051E" w:rsidP="003F1BA0">
            <w:pPr>
              <w:spacing w:after="0" w:line="240" w:lineRule="auto"/>
              <w:rPr>
                <w:rFonts w:eastAsia="Times New Roman" w:cs="Arial"/>
                <w:szCs w:val="24"/>
              </w:rPr>
            </w:pPr>
          </w:p>
        </w:tc>
      </w:tr>
      <w:tr w:rsidR="0084051E" w:rsidRPr="00ED4CC7" w:rsidTr="003F1BA0">
        <w:trPr>
          <w:gridAfter w:val="1"/>
          <w:wAfter w:w="3848" w:type="dxa"/>
          <w:trHeight w:val="1355"/>
        </w:trPr>
        <w:tc>
          <w:tcPr>
            <w:tcW w:w="5099" w:type="dxa"/>
            <w:vMerge/>
            <w:shd w:val="clear" w:color="auto" w:fill="auto"/>
          </w:tcPr>
          <w:p w:rsidR="0084051E" w:rsidRPr="00ED4CC7" w:rsidRDefault="0084051E" w:rsidP="003F1BA0">
            <w:pPr>
              <w:spacing w:after="0" w:line="240" w:lineRule="auto"/>
              <w:rPr>
                <w:rFonts w:eastAsia="Times New Roman" w:cs="Arial"/>
                <w:sz w:val="20"/>
                <w:szCs w:val="24"/>
              </w:rPr>
            </w:pPr>
          </w:p>
        </w:tc>
        <w:tc>
          <w:tcPr>
            <w:tcW w:w="1841" w:type="dxa"/>
            <w:shd w:val="clear" w:color="auto" w:fill="auto"/>
          </w:tcPr>
          <w:p w:rsidR="0084051E" w:rsidRPr="00ED4CC7" w:rsidRDefault="0084051E" w:rsidP="003F1BA0">
            <w:pPr>
              <w:tabs>
                <w:tab w:val="left" w:pos="743"/>
              </w:tabs>
              <w:spacing w:after="0" w:line="240" w:lineRule="auto"/>
              <w:rPr>
                <w:rFonts w:eastAsia="Times New Roman" w:cs="Arial"/>
                <w:sz w:val="22"/>
              </w:rPr>
            </w:pPr>
            <w:r w:rsidRPr="00ED4CC7">
              <w:rPr>
                <w:rFonts w:eastAsia="Times New Roman" w:cs="Arial"/>
                <w:sz w:val="22"/>
              </w:rPr>
              <w:t>Level 2</w:t>
            </w:r>
          </w:p>
          <w:p w:rsidR="0084051E" w:rsidRPr="00ED4CC7" w:rsidRDefault="0084051E" w:rsidP="003F1BA0">
            <w:pPr>
              <w:tabs>
                <w:tab w:val="left" w:pos="743"/>
              </w:tabs>
              <w:spacing w:after="0" w:line="240" w:lineRule="auto"/>
              <w:rPr>
                <w:rFonts w:eastAsia="Times New Roman" w:cs="Arial"/>
                <w:sz w:val="22"/>
              </w:rPr>
            </w:pPr>
            <w:r w:rsidRPr="00ED4CC7">
              <w:rPr>
                <w:rFonts w:eastAsia="Times New Roman" w:cs="Arial"/>
                <w:sz w:val="22"/>
              </w:rPr>
              <w:t>Caxton House</w:t>
            </w:r>
          </w:p>
          <w:p w:rsidR="0084051E" w:rsidRPr="00ED4CC7" w:rsidRDefault="0084051E" w:rsidP="003F1BA0">
            <w:pPr>
              <w:tabs>
                <w:tab w:val="left" w:pos="743"/>
              </w:tabs>
              <w:spacing w:after="0" w:line="240" w:lineRule="auto"/>
              <w:rPr>
                <w:rFonts w:eastAsia="Times New Roman" w:cs="Arial"/>
                <w:sz w:val="22"/>
              </w:rPr>
            </w:pPr>
            <w:r w:rsidRPr="00ED4CC7">
              <w:rPr>
                <w:rFonts w:eastAsia="Times New Roman" w:cs="Arial"/>
                <w:sz w:val="22"/>
              </w:rPr>
              <w:t>Tothill Street</w:t>
            </w:r>
          </w:p>
          <w:p w:rsidR="0084051E" w:rsidRPr="00ED4CC7" w:rsidRDefault="0084051E" w:rsidP="003F1BA0">
            <w:pPr>
              <w:tabs>
                <w:tab w:val="left" w:pos="743"/>
              </w:tabs>
              <w:spacing w:after="0" w:line="240" w:lineRule="auto"/>
              <w:rPr>
                <w:rFonts w:eastAsia="Times New Roman" w:cs="Arial"/>
                <w:sz w:val="22"/>
              </w:rPr>
            </w:pPr>
            <w:r w:rsidRPr="00ED4CC7">
              <w:rPr>
                <w:rFonts w:eastAsia="Times New Roman" w:cs="Arial"/>
                <w:sz w:val="22"/>
              </w:rPr>
              <w:t>London</w:t>
            </w:r>
          </w:p>
          <w:p w:rsidR="0084051E" w:rsidRDefault="0084051E" w:rsidP="003F1BA0">
            <w:pPr>
              <w:tabs>
                <w:tab w:val="left" w:pos="743"/>
              </w:tabs>
              <w:spacing w:after="0" w:line="240" w:lineRule="auto"/>
              <w:rPr>
                <w:rFonts w:eastAsia="Times New Roman" w:cs="Arial"/>
                <w:sz w:val="22"/>
              </w:rPr>
            </w:pPr>
            <w:r w:rsidRPr="00ED4CC7">
              <w:rPr>
                <w:rFonts w:eastAsia="Times New Roman" w:cs="Arial"/>
                <w:sz w:val="22"/>
              </w:rPr>
              <w:t>SW1H 9NA</w:t>
            </w:r>
          </w:p>
          <w:p w:rsidR="0084051E" w:rsidRDefault="0084051E" w:rsidP="003F1BA0">
            <w:pPr>
              <w:tabs>
                <w:tab w:val="left" w:pos="743"/>
              </w:tabs>
              <w:spacing w:after="0" w:line="240" w:lineRule="auto"/>
              <w:rPr>
                <w:rFonts w:eastAsia="Times New Roman" w:cs="Arial"/>
                <w:sz w:val="22"/>
              </w:rPr>
            </w:pPr>
          </w:p>
          <w:p w:rsidR="0084051E" w:rsidRPr="00ED4CC7" w:rsidRDefault="0084051E" w:rsidP="003F1BA0">
            <w:pPr>
              <w:tabs>
                <w:tab w:val="left" w:pos="743"/>
              </w:tabs>
              <w:spacing w:after="0" w:line="240" w:lineRule="auto"/>
              <w:rPr>
                <w:rFonts w:eastAsia="Times New Roman" w:cs="Arial"/>
                <w:sz w:val="22"/>
              </w:rPr>
            </w:pPr>
            <w:r>
              <w:rPr>
                <w:rFonts w:eastAsia="Times New Roman" w:cs="Arial"/>
                <w:sz w:val="22"/>
              </w:rPr>
              <w:t>March 2016</w:t>
            </w:r>
          </w:p>
          <w:p w:rsidR="0084051E" w:rsidRPr="00ED4CC7" w:rsidRDefault="0084051E" w:rsidP="003F1BA0">
            <w:pPr>
              <w:tabs>
                <w:tab w:val="left" w:pos="743"/>
              </w:tabs>
              <w:spacing w:after="0" w:line="240" w:lineRule="auto"/>
              <w:rPr>
                <w:rFonts w:eastAsia="Times New Roman" w:cs="Arial"/>
                <w:sz w:val="22"/>
              </w:rPr>
            </w:pPr>
          </w:p>
        </w:tc>
      </w:tr>
    </w:tbl>
    <w:p w:rsidR="0084051E" w:rsidRDefault="0084051E" w:rsidP="0084051E">
      <w:pPr>
        <w:rPr>
          <w:b/>
          <w:u w:val="single"/>
        </w:rPr>
      </w:pPr>
      <w:r>
        <w:rPr>
          <w:b/>
          <w:u w:val="single"/>
        </w:rPr>
        <w:t>General Practice Bulletin</w:t>
      </w:r>
    </w:p>
    <w:p w:rsidR="0084051E" w:rsidRDefault="0084051E" w:rsidP="0084051E">
      <w:r>
        <w:t>Please find attached the latest DWP updates for cascade to GP colleagues.</w:t>
      </w:r>
    </w:p>
    <w:p w:rsidR="0084051E" w:rsidRPr="00ED4CC7" w:rsidRDefault="0084051E" w:rsidP="0084051E">
      <w:pPr>
        <w:tabs>
          <w:tab w:val="left" w:pos="0"/>
        </w:tabs>
        <w:suppressAutoHyphens/>
        <w:spacing w:after="0" w:line="240" w:lineRule="atLeast"/>
        <w:jc w:val="both"/>
        <w:rPr>
          <w:rFonts w:eastAsia="Times New Roman" w:cs="Arial"/>
          <w:b/>
          <w:spacing w:val="-3"/>
          <w:szCs w:val="24"/>
        </w:rPr>
      </w:pPr>
      <w:r>
        <w:rPr>
          <w:rFonts w:eastAsia="Times New Roman" w:cs="Arial"/>
          <w:b/>
          <w:spacing w:val="-3"/>
          <w:szCs w:val="24"/>
        </w:rPr>
        <w:t xml:space="preserve">Dr </w:t>
      </w:r>
      <w:r w:rsidRPr="00ED4CC7">
        <w:rPr>
          <w:rFonts w:eastAsia="Times New Roman" w:cs="Arial"/>
          <w:b/>
          <w:bCs/>
          <w:szCs w:val="24"/>
        </w:rPr>
        <w:t>Pui-Ling Li</w:t>
      </w:r>
    </w:p>
    <w:p w:rsidR="0084051E" w:rsidRDefault="0084051E" w:rsidP="0084051E">
      <w:pPr>
        <w:tabs>
          <w:tab w:val="left" w:pos="0"/>
        </w:tabs>
        <w:suppressAutoHyphens/>
        <w:spacing w:after="0" w:line="240" w:lineRule="atLeast"/>
        <w:jc w:val="both"/>
        <w:rPr>
          <w:rFonts w:eastAsia="Times New Roman" w:cs="Arial"/>
          <w:b/>
          <w:spacing w:val="-3"/>
          <w:szCs w:val="24"/>
        </w:rPr>
      </w:pPr>
      <w:r w:rsidRPr="00ED4CC7">
        <w:rPr>
          <w:rFonts w:eastAsia="Times New Roman" w:cs="Arial"/>
          <w:b/>
          <w:spacing w:val="-3"/>
          <w:szCs w:val="24"/>
        </w:rPr>
        <w:t>Chief Medical Officer</w:t>
      </w:r>
    </w:p>
    <w:p w:rsidR="0084051E" w:rsidRDefault="0084051E" w:rsidP="0084051E">
      <w:pPr>
        <w:tabs>
          <w:tab w:val="left" w:pos="0"/>
        </w:tabs>
        <w:suppressAutoHyphens/>
        <w:spacing w:after="0" w:line="240" w:lineRule="atLeast"/>
        <w:jc w:val="both"/>
        <w:rPr>
          <w:rFonts w:eastAsia="Times New Roman" w:cs="Arial"/>
          <w:b/>
          <w:spacing w:val="-3"/>
          <w:szCs w:val="24"/>
        </w:rPr>
      </w:pPr>
    </w:p>
    <w:p w:rsidR="0084051E" w:rsidRPr="00CC4A77" w:rsidRDefault="0084051E" w:rsidP="0084051E">
      <w:pPr>
        <w:rPr>
          <w:rFonts w:cs="Arial"/>
          <w:b/>
          <w:color w:val="000000"/>
          <w:szCs w:val="24"/>
        </w:rPr>
      </w:pPr>
      <w:r w:rsidRPr="00CC4A77">
        <w:rPr>
          <w:rFonts w:cs="Arial"/>
          <w:b/>
          <w:color w:val="000000"/>
          <w:szCs w:val="24"/>
        </w:rPr>
        <w:t xml:space="preserve">Fit for Work </w:t>
      </w:r>
    </w:p>
    <w:p w:rsidR="0084051E" w:rsidRPr="00263BE5" w:rsidRDefault="0084051E" w:rsidP="0084051E">
      <w:pPr>
        <w:rPr>
          <w:rFonts w:cs="Arial"/>
          <w:bCs/>
          <w:color w:val="000000"/>
          <w:szCs w:val="24"/>
          <w:u w:val="single"/>
        </w:rPr>
      </w:pPr>
      <w:r>
        <w:rPr>
          <w:rFonts w:cs="Arial"/>
          <w:bCs/>
          <w:color w:val="000000"/>
          <w:szCs w:val="24"/>
          <w:u w:val="single"/>
        </w:rPr>
        <w:t>What is Fit for Work</w:t>
      </w:r>
      <w:r w:rsidRPr="00263BE5">
        <w:rPr>
          <w:rFonts w:cs="Arial"/>
          <w:bCs/>
          <w:color w:val="000000"/>
          <w:szCs w:val="24"/>
          <w:u w:val="single"/>
        </w:rPr>
        <w:t>?</w:t>
      </w:r>
    </w:p>
    <w:p w:rsidR="0084051E" w:rsidRPr="005D2A51" w:rsidRDefault="0084051E" w:rsidP="0084051E">
      <w:pPr>
        <w:pStyle w:val="ListParagraph"/>
        <w:numPr>
          <w:ilvl w:val="0"/>
          <w:numId w:val="1"/>
        </w:numPr>
        <w:ind w:left="720"/>
        <w:rPr>
          <w:rFonts w:cs="Arial"/>
          <w:bCs/>
          <w:color w:val="000000"/>
          <w:szCs w:val="24"/>
        </w:rPr>
      </w:pPr>
      <w:r>
        <w:rPr>
          <w:rFonts w:cs="Arial"/>
          <w:bCs/>
          <w:color w:val="000000"/>
          <w:szCs w:val="24"/>
        </w:rPr>
        <w:t xml:space="preserve">A </w:t>
      </w:r>
      <w:r w:rsidR="00E719F2">
        <w:rPr>
          <w:rFonts w:cs="Arial"/>
        </w:rPr>
        <w:t xml:space="preserve">supportive </w:t>
      </w:r>
      <w:r w:rsidRPr="005D2A51">
        <w:rPr>
          <w:rFonts w:cs="Arial"/>
        </w:rPr>
        <w:t xml:space="preserve">assessment </w:t>
      </w:r>
      <w:r w:rsidR="00E719F2">
        <w:rPr>
          <w:rFonts w:cs="Arial"/>
        </w:rPr>
        <w:t xml:space="preserve">of health and work </w:t>
      </w:r>
      <w:r w:rsidRPr="005D2A51">
        <w:rPr>
          <w:rFonts w:cs="Arial"/>
        </w:rPr>
        <w:t>and general health and work advice</w:t>
      </w:r>
    </w:p>
    <w:p w:rsidR="0084051E" w:rsidRDefault="0084051E" w:rsidP="0084051E">
      <w:pPr>
        <w:pStyle w:val="ListParagraph"/>
        <w:numPr>
          <w:ilvl w:val="0"/>
          <w:numId w:val="1"/>
        </w:numPr>
        <w:ind w:left="720"/>
        <w:rPr>
          <w:rFonts w:cs="Arial"/>
          <w:bCs/>
          <w:color w:val="000000"/>
          <w:szCs w:val="24"/>
        </w:rPr>
      </w:pPr>
      <w:r>
        <w:rPr>
          <w:rFonts w:cs="Arial"/>
          <w:bCs/>
          <w:color w:val="000000"/>
          <w:szCs w:val="24"/>
        </w:rPr>
        <w:t>You can refer your patient for an assessment if they are employed and have</w:t>
      </w:r>
      <w:r w:rsidRPr="005D2A51">
        <w:rPr>
          <w:rFonts w:cs="Arial"/>
          <w:bCs/>
          <w:color w:val="000000"/>
          <w:szCs w:val="24"/>
        </w:rPr>
        <w:t xml:space="preserve"> been off work sick for four weeks or more, or </w:t>
      </w:r>
      <w:r>
        <w:rPr>
          <w:rFonts w:cs="Arial"/>
          <w:bCs/>
          <w:color w:val="000000"/>
          <w:szCs w:val="24"/>
        </w:rPr>
        <w:t>you think they are likely to be</w:t>
      </w:r>
      <w:r w:rsidRPr="005D2A51">
        <w:rPr>
          <w:rFonts w:cs="Arial"/>
          <w:bCs/>
          <w:color w:val="000000"/>
          <w:szCs w:val="24"/>
        </w:rPr>
        <w:t xml:space="preserve"> </w:t>
      </w:r>
    </w:p>
    <w:p w:rsidR="0084051E" w:rsidRPr="00BE25EA" w:rsidRDefault="0084051E" w:rsidP="0084051E">
      <w:pPr>
        <w:pStyle w:val="ListParagraph"/>
        <w:numPr>
          <w:ilvl w:val="0"/>
          <w:numId w:val="1"/>
        </w:numPr>
        <w:ind w:left="720"/>
        <w:rPr>
          <w:rFonts w:cs="Arial"/>
          <w:bCs/>
          <w:color w:val="000000"/>
          <w:szCs w:val="24"/>
        </w:rPr>
      </w:pPr>
      <w:r>
        <w:rPr>
          <w:rFonts w:cs="FS Me Light"/>
          <w:color w:val="000000"/>
          <w:szCs w:val="24"/>
        </w:rPr>
        <w:t>A</w:t>
      </w:r>
      <w:r w:rsidRPr="005D2A51">
        <w:rPr>
          <w:rFonts w:cs="FS Me Light"/>
          <w:color w:val="000000"/>
          <w:szCs w:val="24"/>
        </w:rPr>
        <w:t xml:space="preserve"> health professional will talk to your patient about their health, assess their circumstances and create a plan with their agreement providing recommendations to help them back into work (this is a Return to Work Plan).</w:t>
      </w:r>
    </w:p>
    <w:p w:rsidR="0084051E" w:rsidRPr="00BE25EA" w:rsidRDefault="0084051E" w:rsidP="0084051E">
      <w:pPr>
        <w:pStyle w:val="ListParagraph"/>
        <w:numPr>
          <w:ilvl w:val="0"/>
          <w:numId w:val="1"/>
        </w:numPr>
        <w:ind w:left="720"/>
        <w:rPr>
          <w:rFonts w:cs="Arial"/>
          <w:bCs/>
          <w:szCs w:val="24"/>
        </w:rPr>
      </w:pPr>
      <w:r w:rsidRPr="00BE25EA">
        <w:rPr>
          <w:rFonts w:cs="FS Me Light"/>
          <w:szCs w:val="24"/>
        </w:rPr>
        <w:t>Fit for Work will provide a thorough assessment of the physical and mental health problems, attitudes and beliefs and the social circumstances acting as obstacles and enablers to return to work.</w:t>
      </w:r>
    </w:p>
    <w:p w:rsidR="0084051E" w:rsidRPr="00A7551A" w:rsidRDefault="0084051E" w:rsidP="0084051E">
      <w:pPr>
        <w:pStyle w:val="ListParagraph"/>
        <w:numPr>
          <w:ilvl w:val="0"/>
          <w:numId w:val="1"/>
        </w:numPr>
        <w:ind w:left="720"/>
        <w:rPr>
          <w:rFonts w:cs="Arial"/>
          <w:bCs/>
          <w:color w:val="000000"/>
          <w:szCs w:val="24"/>
        </w:rPr>
      </w:pPr>
      <w:r>
        <w:rPr>
          <w:rFonts w:cs="FS Me Light"/>
          <w:color w:val="000000"/>
          <w:szCs w:val="24"/>
        </w:rPr>
        <w:t xml:space="preserve">Your patient can supply the Return to Work Plan to their employer as a statement of fitness for work, removing the need for you to supply a fit note once your patient has been referred to the service </w:t>
      </w:r>
    </w:p>
    <w:p w:rsidR="0084051E" w:rsidRDefault="0084051E" w:rsidP="0084051E">
      <w:pPr>
        <w:pStyle w:val="ListParagraph"/>
        <w:numPr>
          <w:ilvl w:val="0"/>
          <w:numId w:val="1"/>
        </w:numPr>
        <w:ind w:left="720"/>
        <w:rPr>
          <w:rFonts w:cs="Arial"/>
          <w:bCs/>
          <w:color w:val="000000"/>
          <w:szCs w:val="24"/>
        </w:rPr>
      </w:pPr>
      <w:r>
        <w:rPr>
          <w:rFonts w:cs="Arial"/>
          <w:bCs/>
          <w:color w:val="000000"/>
          <w:szCs w:val="24"/>
        </w:rPr>
        <w:t>You can also use and signpost your patients to the advice line which is accessible to all the public whether they are in or out of employment</w:t>
      </w:r>
    </w:p>
    <w:p w:rsidR="0084051E" w:rsidRPr="00263BE5" w:rsidRDefault="0084051E" w:rsidP="0084051E">
      <w:pPr>
        <w:rPr>
          <w:rFonts w:cs="Arial"/>
          <w:bCs/>
          <w:color w:val="000000"/>
          <w:szCs w:val="24"/>
          <w:u w:val="single"/>
        </w:rPr>
      </w:pPr>
      <w:r w:rsidRPr="00263BE5">
        <w:rPr>
          <w:rFonts w:cs="Arial"/>
          <w:bCs/>
          <w:color w:val="000000"/>
          <w:szCs w:val="24"/>
          <w:u w:val="single"/>
        </w:rPr>
        <w:t>How can Fit for Work help you and your patients?</w:t>
      </w:r>
    </w:p>
    <w:p w:rsidR="0084051E" w:rsidRDefault="0084051E" w:rsidP="0084051E">
      <w:pPr>
        <w:rPr>
          <w:rFonts w:cs="Arial"/>
          <w:bCs/>
          <w:color w:val="000000"/>
          <w:szCs w:val="24"/>
        </w:rPr>
      </w:pPr>
      <w:r>
        <w:rPr>
          <w:rFonts w:cs="Arial"/>
          <w:bCs/>
          <w:color w:val="000000"/>
          <w:szCs w:val="24"/>
        </w:rPr>
        <w:t>Fit for Work provides:</w:t>
      </w:r>
    </w:p>
    <w:p w:rsidR="0084051E" w:rsidRDefault="0084051E" w:rsidP="0084051E">
      <w:pPr>
        <w:pStyle w:val="ListParagraph"/>
        <w:numPr>
          <w:ilvl w:val="0"/>
          <w:numId w:val="2"/>
        </w:numPr>
        <w:ind w:left="720"/>
        <w:rPr>
          <w:rFonts w:cs="Arial"/>
          <w:bCs/>
          <w:color w:val="000000"/>
          <w:szCs w:val="24"/>
        </w:rPr>
      </w:pPr>
      <w:r>
        <w:rPr>
          <w:rFonts w:cs="Arial"/>
          <w:bCs/>
          <w:color w:val="000000"/>
          <w:szCs w:val="24"/>
        </w:rPr>
        <w:t>Assistance in managing your patient’s understanding about the impact of their condition on their fitness for work</w:t>
      </w:r>
    </w:p>
    <w:p w:rsidR="0084051E" w:rsidRDefault="0084051E" w:rsidP="0084051E">
      <w:pPr>
        <w:pStyle w:val="ListParagraph"/>
        <w:numPr>
          <w:ilvl w:val="0"/>
          <w:numId w:val="2"/>
        </w:numPr>
        <w:ind w:left="720"/>
        <w:rPr>
          <w:rFonts w:cs="Arial"/>
          <w:bCs/>
          <w:color w:val="000000"/>
          <w:szCs w:val="24"/>
        </w:rPr>
      </w:pPr>
      <w:r>
        <w:rPr>
          <w:rFonts w:cs="Arial"/>
          <w:bCs/>
          <w:color w:val="000000"/>
          <w:szCs w:val="24"/>
        </w:rPr>
        <w:t>Support in managing difficult return to work consultations</w:t>
      </w:r>
    </w:p>
    <w:p w:rsidR="0084051E" w:rsidRPr="00C327D7" w:rsidRDefault="0084051E" w:rsidP="0084051E">
      <w:pPr>
        <w:pStyle w:val="ListParagraph"/>
        <w:numPr>
          <w:ilvl w:val="0"/>
          <w:numId w:val="2"/>
        </w:numPr>
        <w:ind w:left="720"/>
        <w:rPr>
          <w:rFonts w:cs="Arial"/>
          <w:bCs/>
          <w:color w:val="000000"/>
          <w:szCs w:val="24"/>
        </w:rPr>
      </w:pPr>
      <w:r>
        <w:rPr>
          <w:rFonts w:cs="Arial"/>
          <w:bCs/>
          <w:color w:val="000000"/>
          <w:szCs w:val="24"/>
        </w:rPr>
        <w:t>Help which improves your patient’s chance of keeping their job</w:t>
      </w:r>
    </w:p>
    <w:p w:rsidR="0084051E" w:rsidRDefault="0084051E" w:rsidP="0084051E">
      <w:pPr>
        <w:pStyle w:val="ListParagraph"/>
        <w:numPr>
          <w:ilvl w:val="0"/>
          <w:numId w:val="2"/>
        </w:numPr>
        <w:ind w:left="720"/>
        <w:rPr>
          <w:rFonts w:cs="Arial"/>
          <w:bCs/>
          <w:color w:val="000000"/>
          <w:szCs w:val="24"/>
        </w:rPr>
      </w:pPr>
      <w:r>
        <w:rPr>
          <w:rFonts w:cs="Arial"/>
          <w:bCs/>
          <w:color w:val="000000"/>
          <w:szCs w:val="24"/>
        </w:rPr>
        <w:lastRenderedPageBreak/>
        <w:t>A Return to Work Plan with recommendations to support you, your patient and their employer in helping them to return to work</w:t>
      </w:r>
    </w:p>
    <w:p w:rsidR="0084051E" w:rsidRDefault="0084051E" w:rsidP="0084051E">
      <w:pPr>
        <w:pStyle w:val="ListParagraph"/>
        <w:numPr>
          <w:ilvl w:val="0"/>
          <w:numId w:val="2"/>
        </w:numPr>
        <w:ind w:left="720"/>
        <w:rPr>
          <w:rFonts w:cs="Arial"/>
          <w:bCs/>
          <w:color w:val="000000"/>
          <w:szCs w:val="24"/>
        </w:rPr>
      </w:pPr>
      <w:r>
        <w:rPr>
          <w:rFonts w:cs="Arial"/>
          <w:bCs/>
          <w:color w:val="000000"/>
          <w:szCs w:val="24"/>
        </w:rPr>
        <w:t>Removal of the need to issue repeat fit notes where a Return to Work Plan is in place</w:t>
      </w:r>
    </w:p>
    <w:p w:rsidR="0084051E" w:rsidRDefault="0084051E" w:rsidP="0084051E">
      <w:pPr>
        <w:rPr>
          <w:rFonts w:cs="Arial"/>
          <w:bCs/>
          <w:color w:val="000000"/>
          <w:szCs w:val="24"/>
        </w:rPr>
      </w:pPr>
      <w:r>
        <w:rPr>
          <w:rFonts w:cs="Arial"/>
          <w:bCs/>
          <w:color w:val="000000"/>
          <w:szCs w:val="24"/>
        </w:rPr>
        <w:t>For further information on how to access Fit for Work please visit:</w:t>
      </w:r>
    </w:p>
    <w:p w:rsidR="0084051E" w:rsidRDefault="0084051E" w:rsidP="0084051E">
      <w:pPr>
        <w:rPr>
          <w:rStyle w:val="Hyperlink"/>
          <w:rFonts w:cs="Arial"/>
          <w:bCs/>
          <w:szCs w:val="24"/>
        </w:rPr>
      </w:pPr>
      <w:r>
        <w:rPr>
          <w:rFonts w:cs="Arial"/>
          <w:bCs/>
          <w:color w:val="000000"/>
          <w:szCs w:val="24"/>
        </w:rPr>
        <w:t xml:space="preserve">England &amp; Wales: </w:t>
      </w:r>
      <w:hyperlink r:id="rId7" w:history="1">
        <w:r w:rsidRPr="004D26D7">
          <w:rPr>
            <w:rStyle w:val="Hyperlink"/>
            <w:rFonts w:cs="Arial"/>
            <w:bCs/>
            <w:szCs w:val="24"/>
          </w:rPr>
          <w:t>www.fitforwork.org</w:t>
        </w:r>
      </w:hyperlink>
    </w:p>
    <w:p w:rsidR="0084051E" w:rsidRDefault="0084051E" w:rsidP="0084051E">
      <w:pPr>
        <w:rPr>
          <w:rFonts w:cs="Arial"/>
          <w:bCs/>
          <w:szCs w:val="24"/>
        </w:rPr>
      </w:pPr>
      <w:r>
        <w:rPr>
          <w:rStyle w:val="Hyperlink"/>
          <w:rFonts w:cs="Arial"/>
          <w:bCs/>
          <w:szCs w:val="24"/>
        </w:rPr>
        <w:t xml:space="preserve">Scotland: </w:t>
      </w:r>
      <w:hyperlink r:id="rId8" w:history="1">
        <w:r w:rsidRPr="00290500">
          <w:rPr>
            <w:rStyle w:val="Hyperlink"/>
            <w:rFonts w:cs="Arial"/>
            <w:bCs/>
            <w:szCs w:val="24"/>
          </w:rPr>
          <w:t>www.fitforworkscotland.scot</w:t>
        </w:r>
      </w:hyperlink>
    </w:p>
    <w:p w:rsidR="0084051E" w:rsidRPr="004B2B67" w:rsidRDefault="0084051E" w:rsidP="0084051E">
      <w:pPr>
        <w:rPr>
          <w:rFonts w:cs="Arial"/>
          <w:bCs/>
          <w:szCs w:val="24"/>
        </w:rPr>
      </w:pPr>
    </w:p>
    <w:p w:rsidR="0084051E" w:rsidRPr="004D26D7" w:rsidRDefault="0084051E" w:rsidP="0084051E">
      <w:pPr>
        <w:rPr>
          <w:rFonts w:cs="Arial"/>
          <w:b/>
          <w:color w:val="000000"/>
          <w:szCs w:val="24"/>
        </w:rPr>
      </w:pPr>
      <w:r w:rsidRPr="00FC2313">
        <w:rPr>
          <w:rFonts w:cs="Arial"/>
          <w:b/>
          <w:color w:val="000000"/>
          <w:szCs w:val="24"/>
        </w:rPr>
        <w:t>Employment and Support Allowance</w:t>
      </w:r>
    </w:p>
    <w:p w:rsidR="0084051E" w:rsidRPr="00FC2313" w:rsidRDefault="0084051E" w:rsidP="0084051E">
      <w:r w:rsidRPr="00FC2313">
        <w:t xml:space="preserve">From 30th March 2015, claimants who </w:t>
      </w:r>
      <w:r>
        <w:t xml:space="preserve">were found fit for work on their previous claim for Employment and Support Allowance (ESA) </w:t>
      </w:r>
      <w:r w:rsidR="004B0725">
        <w:t>have not b</w:t>
      </w:r>
      <w:r>
        <w:t>een</w:t>
      </w:r>
      <w:r w:rsidRPr="00FC2313">
        <w:t xml:space="preserve"> paid ESA</w:t>
      </w:r>
      <w:r>
        <w:t xml:space="preserve"> on</w:t>
      </w:r>
      <w:r w:rsidRPr="00FC2313">
        <w:t xml:space="preserve"> a repeat claim</w:t>
      </w:r>
      <w:r>
        <w:t xml:space="preserve">, </w:t>
      </w:r>
      <w:r w:rsidRPr="00FC2313">
        <w:t>unless they have developed a new condition or an existing condition has significantly worsened</w:t>
      </w:r>
      <w:r>
        <w:t>.</w:t>
      </w:r>
      <w:r w:rsidRPr="00FC2313">
        <w:t xml:space="preserve"> </w:t>
      </w:r>
      <w:r>
        <w:rPr>
          <w:rFonts w:cs="Arial"/>
          <w:color w:val="000000"/>
          <w:szCs w:val="24"/>
        </w:rPr>
        <w:t>GPs will be asked to provide fit notes in the normal way for these ESA claims</w:t>
      </w:r>
    </w:p>
    <w:p w:rsidR="0084051E" w:rsidRDefault="0084051E" w:rsidP="0084051E">
      <w:r>
        <w:t xml:space="preserve">If, on the repeat claim, the claimant is found fit for work for a </w:t>
      </w:r>
      <w:r w:rsidRPr="004A2F3C">
        <w:rPr>
          <w:b/>
        </w:rPr>
        <w:t>second consecutive</w:t>
      </w:r>
      <w:r>
        <w:t xml:space="preserve"> time, no ESA will be paid whilst the claimant is awaiting the outcome of the appeal.</w:t>
      </w:r>
    </w:p>
    <w:p w:rsidR="0088546E" w:rsidRPr="004D26D7" w:rsidRDefault="0088546E" w:rsidP="0084051E"/>
    <w:p w:rsidR="0084051E" w:rsidRPr="004D26D7" w:rsidRDefault="0084051E" w:rsidP="0084051E">
      <w:pPr>
        <w:rPr>
          <w:rFonts w:cs="Arial"/>
          <w:b/>
          <w:color w:val="000000"/>
          <w:szCs w:val="24"/>
        </w:rPr>
      </w:pPr>
      <w:r w:rsidRPr="00FC2313">
        <w:rPr>
          <w:rFonts w:cs="Arial"/>
          <w:b/>
          <w:color w:val="000000"/>
          <w:szCs w:val="24"/>
        </w:rPr>
        <w:t xml:space="preserve">Jobseeker’s Allowance </w:t>
      </w:r>
    </w:p>
    <w:p w:rsidR="0084051E" w:rsidRPr="004D26D7" w:rsidRDefault="0084051E" w:rsidP="0084051E">
      <w:pPr>
        <w:rPr>
          <w:rFonts w:cs="Arial"/>
          <w:color w:val="000000"/>
          <w:szCs w:val="24"/>
        </w:rPr>
      </w:pPr>
      <w:r>
        <w:rPr>
          <w:rFonts w:cs="Arial"/>
          <w:color w:val="000000"/>
          <w:szCs w:val="24"/>
        </w:rPr>
        <w:t xml:space="preserve">From 30 March 2015, unemployed claimants who develop a health condition have been able to continue to claim Jobseeker’s Allowance on a voluntary basis for up to 13 weeks rather than having to claim </w:t>
      </w:r>
      <w:r>
        <w:t xml:space="preserve">ESA </w:t>
      </w:r>
      <w:r>
        <w:rPr>
          <w:rFonts w:cs="Arial"/>
          <w:color w:val="000000"/>
          <w:szCs w:val="24"/>
        </w:rPr>
        <w:t>instead.</w:t>
      </w:r>
    </w:p>
    <w:p w:rsidR="0084051E" w:rsidRDefault="0084051E" w:rsidP="0084051E">
      <w:pPr>
        <w:rPr>
          <w:rFonts w:cs="Arial"/>
          <w:color w:val="000000"/>
          <w:szCs w:val="24"/>
        </w:rPr>
      </w:pPr>
      <w:r>
        <w:rPr>
          <w:rFonts w:cs="Arial"/>
          <w:color w:val="000000"/>
          <w:szCs w:val="24"/>
        </w:rPr>
        <w:t>GPs will have to provide fit</w:t>
      </w:r>
      <w:r w:rsidR="004B0725">
        <w:rPr>
          <w:rFonts w:cs="Arial"/>
          <w:color w:val="000000"/>
          <w:szCs w:val="24"/>
        </w:rPr>
        <w:t xml:space="preserve"> </w:t>
      </w:r>
      <w:r>
        <w:rPr>
          <w:rFonts w:cs="Arial"/>
          <w:color w:val="000000"/>
          <w:szCs w:val="24"/>
        </w:rPr>
        <w:t xml:space="preserve">notes to support these claims in the same way as for </w:t>
      </w:r>
      <w:r>
        <w:t xml:space="preserve">ESA </w:t>
      </w:r>
      <w:r>
        <w:rPr>
          <w:rFonts w:cs="Arial"/>
          <w:color w:val="000000"/>
          <w:szCs w:val="24"/>
        </w:rPr>
        <w:t>claims.</w:t>
      </w:r>
    </w:p>
    <w:p w:rsidR="0088546E" w:rsidRDefault="0088546E" w:rsidP="0084051E">
      <w:pPr>
        <w:rPr>
          <w:rFonts w:cs="Arial"/>
          <w:color w:val="000000"/>
          <w:szCs w:val="24"/>
        </w:rPr>
      </w:pPr>
    </w:p>
    <w:p w:rsidR="0084051E" w:rsidRPr="004A2F3C" w:rsidRDefault="0084051E" w:rsidP="0084051E">
      <w:pPr>
        <w:rPr>
          <w:rFonts w:cs="Arial"/>
          <w:b/>
          <w:color w:val="000000"/>
          <w:szCs w:val="24"/>
        </w:rPr>
      </w:pPr>
      <w:r>
        <w:rPr>
          <w:rFonts w:cs="Arial"/>
          <w:b/>
          <w:color w:val="000000"/>
          <w:szCs w:val="24"/>
        </w:rPr>
        <w:t>Work Capability Assessments</w:t>
      </w:r>
      <w:r w:rsidRPr="004A2F3C">
        <w:rPr>
          <w:rFonts w:cs="Arial"/>
          <w:b/>
          <w:color w:val="000000"/>
          <w:szCs w:val="24"/>
        </w:rPr>
        <w:t xml:space="preserve"> </w:t>
      </w:r>
      <w:r>
        <w:rPr>
          <w:rFonts w:cs="Arial"/>
          <w:b/>
          <w:color w:val="000000"/>
          <w:szCs w:val="24"/>
        </w:rPr>
        <w:t>– substantial risk</w:t>
      </w:r>
    </w:p>
    <w:p w:rsidR="0084051E" w:rsidRPr="00F91067" w:rsidRDefault="0084051E" w:rsidP="0084051E">
      <w:pPr>
        <w:autoSpaceDE w:val="0"/>
        <w:autoSpaceDN w:val="0"/>
        <w:adjustRightInd w:val="0"/>
        <w:rPr>
          <w:rFonts w:cs="Arial"/>
          <w:color w:val="231F20"/>
        </w:rPr>
      </w:pPr>
      <w:r w:rsidRPr="00F91067">
        <w:rPr>
          <w:rFonts w:cs="Arial"/>
          <w:color w:val="231F20"/>
        </w:rPr>
        <w:t xml:space="preserve">The WCA is a functional assessment and the majority of claimants should be identified by the functional activities. However, the assessment recognises that there will be small number of claimants who have </w:t>
      </w:r>
      <w:r w:rsidRPr="004C4E5B">
        <w:rPr>
          <w:rFonts w:cs="Arial"/>
          <w:color w:val="231F20"/>
        </w:rPr>
        <w:t>an adequate level</w:t>
      </w:r>
      <w:r>
        <w:rPr>
          <w:rFonts w:cs="Arial"/>
          <w:color w:val="231F20"/>
        </w:rPr>
        <w:t xml:space="preserve"> </w:t>
      </w:r>
      <w:r w:rsidRPr="00F91067">
        <w:rPr>
          <w:rFonts w:cs="Arial"/>
          <w:color w:val="231F20"/>
        </w:rPr>
        <w:t xml:space="preserve">of function but for whom the decision that they must seek work or </w:t>
      </w:r>
      <w:r>
        <w:rPr>
          <w:rFonts w:cs="Arial"/>
          <w:color w:val="231F20"/>
        </w:rPr>
        <w:t>carry out</w:t>
      </w:r>
      <w:r w:rsidRPr="00F91067">
        <w:rPr>
          <w:rFonts w:cs="Arial"/>
          <w:color w:val="231F20"/>
        </w:rPr>
        <w:t xml:space="preserve"> work</w:t>
      </w:r>
      <w:r>
        <w:rPr>
          <w:rFonts w:cs="Arial"/>
          <w:color w:val="231F20"/>
        </w:rPr>
        <w:t>-</w:t>
      </w:r>
      <w:r w:rsidRPr="00F91067">
        <w:rPr>
          <w:rFonts w:cs="Arial"/>
          <w:color w:val="231F20"/>
        </w:rPr>
        <w:t xml:space="preserve">related activity would be detrimental. </w:t>
      </w:r>
    </w:p>
    <w:p w:rsidR="0084051E" w:rsidRPr="00F91067" w:rsidRDefault="0084051E" w:rsidP="0084051E">
      <w:pPr>
        <w:autoSpaceDE w:val="0"/>
        <w:autoSpaceDN w:val="0"/>
        <w:adjustRightInd w:val="0"/>
        <w:rPr>
          <w:rFonts w:cs="Arial"/>
          <w:color w:val="231F20"/>
        </w:rPr>
      </w:pPr>
      <w:r>
        <w:rPr>
          <w:rFonts w:cs="Arial"/>
          <w:color w:val="231F20"/>
        </w:rPr>
        <w:t xml:space="preserve">The relevant </w:t>
      </w:r>
      <w:r w:rsidRPr="00F91067">
        <w:rPr>
          <w:rFonts w:cs="Arial"/>
          <w:color w:val="231F20"/>
        </w:rPr>
        <w:t>regulations refer to “substantial risk” to mental or physical health</w:t>
      </w:r>
      <w:r>
        <w:rPr>
          <w:rFonts w:cs="Arial"/>
          <w:color w:val="231F20"/>
        </w:rPr>
        <w:t xml:space="preserve"> which has been defined by the courts as a risk “that cannot sensibly be ignored having regard to the nature and gravity of the feared harm in the particular case”</w:t>
      </w:r>
      <w:r w:rsidRPr="00F91067">
        <w:rPr>
          <w:rFonts w:cs="Arial"/>
          <w:color w:val="231F20"/>
        </w:rPr>
        <w:t xml:space="preserve">. The </w:t>
      </w:r>
      <w:r w:rsidRPr="00F91067">
        <w:rPr>
          <w:rFonts w:cs="Arial"/>
          <w:color w:val="231F20"/>
        </w:rPr>
        <w:lastRenderedPageBreak/>
        <w:t>substantial risk can apply to either the claimant or a third party, for example if there is a risk of injury</w:t>
      </w:r>
      <w:r>
        <w:rPr>
          <w:rFonts w:cs="Arial"/>
          <w:color w:val="231F20"/>
        </w:rPr>
        <w:t xml:space="preserve"> to another person</w:t>
      </w:r>
      <w:r w:rsidRPr="00F91067">
        <w:rPr>
          <w:rFonts w:cs="Arial"/>
          <w:color w:val="231F20"/>
        </w:rPr>
        <w:t xml:space="preserve"> as a result of violent behaviour by the claimant.</w:t>
      </w:r>
    </w:p>
    <w:p w:rsidR="0084051E" w:rsidRDefault="0084051E" w:rsidP="0084051E">
      <w:pPr>
        <w:outlineLvl w:val="2"/>
        <w:rPr>
          <w:rFonts w:cs="Arial"/>
        </w:rPr>
      </w:pPr>
      <w:r w:rsidRPr="00F91067">
        <w:rPr>
          <w:rFonts w:cs="Arial"/>
        </w:rPr>
        <w:t xml:space="preserve">If a claimant is found fit for work </w:t>
      </w:r>
      <w:r>
        <w:rPr>
          <w:rFonts w:cs="Arial"/>
        </w:rPr>
        <w:t xml:space="preserve">and chooses to apply for </w:t>
      </w:r>
      <w:r w:rsidRPr="00F91067">
        <w:rPr>
          <w:rFonts w:cs="Arial"/>
        </w:rPr>
        <w:t xml:space="preserve">Jobseeker’s Allowance, the claimant will usually be expected to be available for work, </w:t>
      </w:r>
      <w:r>
        <w:rPr>
          <w:rFonts w:cs="Arial"/>
        </w:rPr>
        <w:t xml:space="preserve">to </w:t>
      </w:r>
      <w:r w:rsidRPr="00F91067">
        <w:rPr>
          <w:rFonts w:cs="Arial"/>
        </w:rPr>
        <w:t>search</w:t>
      </w:r>
      <w:r>
        <w:rPr>
          <w:rFonts w:cs="Arial"/>
        </w:rPr>
        <w:t xml:space="preserve"> for work</w:t>
      </w:r>
      <w:r w:rsidRPr="00F91067">
        <w:rPr>
          <w:rFonts w:cs="Arial"/>
        </w:rPr>
        <w:t xml:space="preserve"> and</w:t>
      </w:r>
      <w:r>
        <w:rPr>
          <w:rFonts w:cs="Arial"/>
        </w:rPr>
        <w:t xml:space="preserve"> to</w:t>
      </w:r>
      <w:r w:rsidRPr="00F91067">
        <w:rPr>
          <w:rFonts w:cs="Arial"/>
        </w:rPr>
        <w:t xml:space="preserve"> accept suitable employment</w:t>
      </w:r>
      <w:r>
        <w:rPr>
          <w:rFonts w:cs="Arial"/>
        </w:rPr>
        <w:t xml:space="preserve"> (this </w:t>
      </w:r>
      <w:r w:rsidRPr="00F91067">
        <w:rPr>
          <w:rFonts w:cs="Arial"/>
        </w:rPr>
        <w:t xml:space="preserve">may </w:t>
      </w:r>
      <w:r w:rsidRPr="0095235C">
        <w:rPr>
          <w:rFonts w:cs="Arial"/>
        </w:rPr>
        <w:t xml:space="preserve">involve an employer making reasonable adjustments </w:t>
      </w:r>
      <w:r>
        <w:rPr>
          <w:rFonts w:cs="Arial"/>
        </w:rPr>
        <w:t>under</w:t>
      </w:r>
      <w:r w:rsidRPr="0095235C">
        <w:rPr>
          <w:rFonts w:cs="Arial"/>
        </w:rPr>
        <w:t xml:space="preserve"> </w:t>
      </w:r>
      <w:r w:rsidRPr="00F91067">
        <w:rPr>
          <w:rFonts w:cs="Arial"/>
        </w:rPr>
        <w:t>the Equality Act</w:t>
      </w:r>
      <w:r>
        <w:rPr>
          <w:rFonts w:cs="Arial"/>
        </w:rPr>
        <w:t>)</w:t>
      </w:r>
      <w:r w:rsidRPr="00F91067">
        <w:rPr>
          <w:rFonts w:cs="Arial"/>
        </w:rPr>
        <w:t>.</w:t>
      </w:r>
    </w:p>
    <w:p w:rsidR="0084051E" w:rsidRPr="00F91067" w:rsidRDefault="0084051E" w:rsidP="0084051E">
      <w:pPr>
        <w:outlineLvl w:val="2"/>
        <w:rPr>
          <w:rFonts w:cs="Arial"/>
          <w:bCs/>
          <w:lang w:eastAsia="en-GB"/>
        </w:rPr>
      </w:pPr>
      <w:r>
        <w:rPr>
          <w:rFonts w:cs="Arial"/>
          <w:bCs/>
          <w:lang w:eastAsia="en-GB"/>
        </w:rPr>
        <w:t xml:space="preserve">If a claimant qualifies for ESA and is allocated to the work-related activity group they will be expected to carry out </w:t>
      </w:r>
      <w:r w:rsidRPr="00F91067">
        <w:rPr>
          <w:rFonts w:cs="Arial"/>
          <w:bCs/>
          <w:lang w:eastAsia="en-GB"/>
        </w:rPr>
        <w:t xml:space="preserve">any of a range of activities </w:t>
      </w:r>
      <w:r>
        <w:rPr>
          <w:rFonts w:cs="Arial"/>
          <w:bCs/>
          <w:lang w:eastAsia="en-GB"/>
        </w:rPr>
        <w:t xml:space="preserve">supervised by DWP, or a third party organisation, </w:t>
      </w:r>
      <w:r w:rsidRPr="00F91067">
        <w:rPr>
          <w:rFonts w:cs="Arial"/>
          <w:bCs/>
          <w:lang w:eastAsia="en-GB"/>
        </w:rPr>
        <w:t xml:space="preserve">that </w:t>
      </w:r>
      <w:r>
        <w:rPr>
          <w:rFonts w:cs="Arial"/>
          <w:bCs/>
          <w:lang w:eastAsia="en-GB"/>
        </w:rPr>
        <w:t xml:space="preserve">assist </w:t>
      </w:r>
      <w:r w:rsidRPr="00F91067">
        <w:rPr>
          <w:rFonts w:cs="Arial"/>
          <w:bCs/>
          <w:lang w:eastAsia="en-GB"/>
        </w:rPr>
        <w:t>the claimant to move clos</w:t>
      </w:r>
      <w:r>
        <w:rPr>
          <w:rFonts w:cs="Arial"/>
          <w:bCs/>
          <w:lang w:eastAsia="en-GB"/>
        </w:rPr>
        <w:t>er towards the world of work. This</w:t>
      </w:r>
      <w:r w:rsidRPr="00F91067">
        <w:rPr>
          <w:rFonts w:cs="Arial"/>
          <w:bCs/>
          <w:lang w:eastAsia="en-GB"/>
        </w:rPr>
        <w:t xml:space="preserve"> is work preparation activity </w:t>
      </w:r>
      <w:r>
        <w:rPr>
          <w:rFonts w:cs="Arial"/>
          <w:bCs/>
          <w:lang w:eastAsia="en-GB"/>
        </w:rPr>
        <w:t>intended to give</w:t>
      </w:r>
      <w:r w:rsidRPr="00F91067">
        <w:rPr>
          <w:rFonts w:cs="Arial"/>
          <w:bCs/>
          <w:lang w:eastAsia="en-GB"/>
        </w:rPr>
        <w:t xml:space="preserve"> the claimant the best possible prospects of moving into work at a point when they are able. </w:t>
      </w:r>
    </w:p>
    <w:p w:rsidR="0084051E" w:rsidRDefault="0084051E" w:rsidP="0084051E">
      <w:pPr>
        <w:rPr>
          <w:rFonts w:cs="Arial"/>
        </w:rPr>
      </w:pPr>
      <w:r w:rsidRPr="00F91067">
        <w:rPr>
          <w:rFonts w:cs="Arial"/>
        </w:rPr>
        <w:t>Th</w:t>
      </w:r>
      <w:r>
        <w:rPr>
          <w:rFonts w:cs="Arial"/>
        </w:rPr>
        <w:t xml:space="preserve">is </w:t>
      </w:r>
      <w:r w:rsidRPr="00F91067">
        <w:rPr>
          <w:rFonts w:cs="Arial"/>
        </w:rPr>
        <w:t>activity could include completing online tasks</w:t>
      </w:r>
      <w:r>
        <w:rPr>
          <w:rFonts w:cs="Arial"/>
        </w:rPr>
        <w:t xml:space="preserve"> (such as a self-assessment or a diary of daily activities), </w:t>
      </w:r>
      <w:r w:rsidRPr="00F91067">
        <w:rPr>
          <w:rFonts w:cs="Arial"/>
        </w:rPr>
        <w:t>phone</w:t>
      </w:r>
      <w:r>
        <w:rPr>
          <w:rFonts w:cs="Arial"/>
        </w:rPr>
        <w:t xml:space="preserve"> or face-to-face</w:t>
      </w:r>
      <w:r w:rsidRPr="00F91067">
        <w:rPr>
          <w:rFonts w:cs="Arial"/>
        </w:rPr>
        <w:t xml:space="preserve"> discussions to discuss goals and agree specific activities, taking part in courses to improve skills or confidence, or </w:t>
      </w:r>
      <w:r>
        <w:rPr>
          <w:rFonts w:cs="Arial"/>
        </w:rPr>
        <w:t>cont</w:t>
      </w:r>
      <w:r w:rsidRPr="00F91067">
        <w:rPr>
          <w:rFonts w:cs="Arial"/>
        </w:rPr>
        <w:t>inu</w:t>
      </w:r>
      <w:r>
        <w:rPr>
          <w:rFonts w:cs="Arial"/>
        </w:rPr>
        <w:t>ing to</w:t>
      </w:r>
      <w:r w:rsidRPr="00F91067">
        <w:rPr>
          <w:rFonts w:cs="Arial"/>
        </w:rPr>
        <w:t xml:space="preserve"> engag</w:t>
      </w:r>
      <w:r>
        <w:rPr>
          <w:rFonts w:cs="Arial"/>
        </w:rPr>
        <w:t>e</w:t>
      </w:r>
      <w:r w:rsidRPr="00F91067">
        <w:rPr>
          <w:rFonts w:cs="Arial"/>
        </w:rPr>
        <w:t xml:space="preserve"> in activity already taking place</w:t>
      </w:r>
      <w:r>
        <w:rPr>
          <w:rFonts w:cs="Arial"/>
        </w:rPr>
        <w:t>.</w:t>
      </w:r>
    </w:p>
    <w:p w:rsidR="0084051E" w:rsidRPr="00483A7C" w:rsidRDefault="0084051E" w:rsidP="0084051E">
      <w:pPr>
        <w:rPr>
          <w:rFonts w:cs="Arial"/>
        </w:rPr>
      </w:pPr>
      <w:r w:rsidRPr="00483A7C">
        <w:rPr>
          <w:rFonts w:cs="Arial"/>
          <w:bCs/>
          <w:lang w:eastAsia="en-GB"/>
        </w:rPr>
        <w:t xml:space="preserve">The requirement for work-related activity is different for each ESA claimant as it </w:t>
      </w:r>
      <w:r w:rsidRPr="00483A7C">
        <w:rPr>
          <w:rFonts w:cs="Arial"/>
        </w:rPr>
        <w:t>must be appropriate and personal to the individual. Claimants must not be asked by DWP to do anything that is unrealistic or could put their health at risk, or be required to undertake work-related activity that includes applying for a job or undertaking work as an employee or otherwise.</w:t>
      </w:r>
    </w:p>
    <w:p w:rsidR="0084051E" w:rsidRPr="00DC4E63" w:rsidRDefault="0084051E" w:rsidP="0084051E">
      <w:pPr>
        <w:rPr>
          <w:rFonts w:cs="Arial"/>
          <w:szCs w:val="24"/>
        </w:rPr>
      </w:pPr>
      <w:r>
        <w:rPr>
          <w:rFonts w:cs="Arial"/>
          <w:szCs w:val="24"/>
        </w:rPr>
        <w:t>Evidence from a GP stating that, in their opinion,</w:t>
      </w:r>
      <w:r w:rsidRPr="00DC4E63">
        <w:rPr>
          <w:rFonts w:cs="Arial"/>
          <w:szCs w:val="24"/>
        </w:rPr>
        <w:t xml:space="preserve"> there is </w:t>
      </w:r>
      <w:r>
        <w:rPr>
          <w:rFonts w:cs="Arial"/>
          <w:szCs w:val="24"/>
        </w:rPr>
        <w:t xml:space="preserve">a </w:t>
      </w:r>
      <w:r w:rsidRPr="00DC4E63">
        <w:rPr>
          <w:rFonts w:cs="Arial"/>
          <w:szCs w:val="24"/>
        </w:rPr>
        <w:t>subst</w:t>
      </w:r>
      <w:r>
        <w:rPr>
          <w:rFonts w:cs="Arial"/>
          <w:szCs w:val="24"/>
        </w:rPr>
        <w:t>antial risk that</w:t>
      </w:r>
      <w:r w:rsidRPr="00B43847">
        <w:rPr>
          <w:rFonts w:cs="Arial"/>
          <w:szCs w:val="24"/>
        </w:rPr>
        <w:t xml:space="preserve"> their patient’s physical or mental health</w:t>
      </w:r>
      <w:r>
        <w:rPr>
          <w:rFonts w:cs="Arial"/>
          <w:szCs w:val="24"/>
        </w:rPr>
        <w:t xml:space="preserve"> would deteriorate</w:t>
      </w:r>
      <w:r w:rsidRPr="00B43847">
        <w:rPr>
          <w:rFonts w:cs="Arial"/>
          <w:szCs w:val="24"/>
        </w:rPr>
        <w:t xml:space="preserve"> </w:t>
      </w:r>
      <w:r w:rsidRPr="00DC4E63">
        <w:rPr>
          <w:rFonts w:cs="Arial"/>
          <w:szCs w:val="24"/>
        </w:rPr>
        <w:t>if</w:t>
      </w:r>
      <w:r>
        <w:rPr>
          <w:rFonts w:cs="Arial"/>
          <w:szCs w:val="24"/>
        </w:rPr>
        <w:t xml:space="preserve"> they are</w:t>
      </w:r>
      <w:r w:rsidRPr="00DC4E63">
        <w:rPr>
          <w:rFonts w:cs="Arial"/>
          <w:szCs w:val="24"/>
        </w:rPr>
        <w:t xml:space="preserve"> found fit fo</w:t>
      </w:r>
      <w:r>
        <w:rPr>
          <w:rFonts w:cs="Arial"/>
          <w:szCs w:val="24"/>
        </w:rPr>
        <w:t>r work or for carrying out work related activity will be taken into consideration,</w:t>
      </w:r>
      <w:r w:rsidRPr="00DC4E63">
        <w:rPr>
          <w:rFonts w:cs="Arial"/>
          <w:szCs w:val="24"/>
        </w:rPr>
        <w:t xml:space="preserve"> </w:t>
      </w:r>
      <w:r>
        <w:rPr>
          <w:rFonts w:cs="Arial"/>
          <w:szCs w:val="24"/>
        </w:rPr>
        <w:t xml:space="preserve">but </w:t>
      </w:r>
      <w:r w:rsidRPr="00DC4E63">
        <w:rPr>
          <w:rFonts w:cs="Arial"/>
          <w:szCs w:val="24"/>
        </w:rPr>
        <w:t>the decision whether</w:t>
      </w:r>
      <w:r>
        <w:rPr>
          <w:rFonts w:cs="Arial"/>
          <w:szCs w:val="24"/>
        </w:rPr>
        <w:t xml:space="preserve"> </w:t>
      </w:r>
      <w:r w:rsidRPr="00DC4E63">
        <w:rPr>
          <w:rFonts w:cs="Arial"/>
          <w:szCs w:val="24"/>
        </w:rPr>
        <w:t>to ap</w:t>
      </w:r>
      <w:r>
        <w:rPr>
          <w:rFonts w:cs="Arial"/>
          <w:szCs w:val="24"/>
        </w:rPr>
        <w:t>ply the regulations will be taken by the</w:t>
      </w:r>
      <w:r w:rsidRPr="00DC4E63">
        <w:rPr>
          <w:rFonts w:cs="Arial"/>
          <w:szCs w:val="24"/>
        </w:rPr>
        <w:t xml:space="preserve"> </w:t>
      </w:r>
      <w:r>
        <w:rPr>
          <w:rFonts w:cs="Arial"/>
          <w:szCs w:val="24"/>
        </w:rPr>
        <w:t xml:space="preserve">departmental </w:t>
      </w:r>
      <w:r w:rsidRPr="00DC4E63">
        <w:rPr>
          <w:rFonts w:cs="Arial"/>
          <w:szCs w:val="24"/>
        </w:rPr>
        <w:t>decision maker</w:t>
      </w:r>
      <w:r>
        <w:rPr>
          <w:rFonts w:cs="Arial"/>
          <w:szCs w:val="24"/>
        </w:rPr>
        <w:t>.</w:t>
      </w:r>
      <w:r w:rsidRPr="00DC4E63">
        <w:rPr>
          <w:rFonts w:cs="Arial"/>
          <w:szCs w:val="24"/>
        </w:rPr>
        <w:t xml:space="preserve"> </w:t>
      </w:r>
    </w:p>
    <w:p w:rsidR="0084051E" w:rsidRPr="003901C0" w:rsidRDefault="0084051E" w:rsidP="0084051E">
      <w:pPr>
        <w:rPr>
          <w:rFonts w:cs="Arial"/>
          <w:szCs w:val="24"/>
        </w:rPr>
      </w:pPr>
    </w:p>
    <w:p w:rsidR="0084051E" w:rsidRPr="004D26D7" w:rsidRDefault="0084051E" w:rsidP="0084051E">
      <w:pPr>
        <w:rPr>
          <w:rFonts w:cs="Arial"/>
          <w:b/>
          <w:color w:val="000000"/>
          <w:szCs w:val="24"/>
        </w:rPr>
      </w:pPr>
      <w:r w:rsidRPr="004D26D7">
        <w:rPr>
          <w:rFonts w:cs="Arial"/>
          <w:b/>
          <w:color w:val="000000"/>
          <w:szCs w:val="24"/>
        </w:rPr>
        <w:t>Access to Work Mental Health Support Services</w:t>
      </w:r>
    </w:p>
    <w:p w:rsidR="0084051E" w:rsidRDefault="0084051E" w:rsidP="0084051E">
      <w:pPr>
        <w:rPr>
          <w:rFonts w:cs="Arial"/>
          <w:color w:val="000000"/>
          <w:szCs w:val="24"/>
        </w:rPr>
      </w:pPr>
      <w:r w:rsidRPr="004D26D7">
        <w:rPr>
          <w:rFonts w:cs="Arial"/>
          <w:color w:val="000000"/>
          <w:szCs w:val="24"/>
        </w:rPr>
        <w:t xml:space="preserve">Please consider signposting patients with </w:t>
      </w:r>
      <w:r>
        <w:rPr>
          <w:rFonts w:cs="Arial"/>
          <w:color w:val="000000"/>
          <w:szCs w:val="24"/>
        </w:rPr>
        <w:t>m</w:t>
      </w:r>
      <w:r w:rsidRPr="004D26D7">
        <w:rPr>
          <w:rFonts w:cs="Arial"/>
          <w:color w:val="000000"/>
          <w:szCs w:val="24"/>
        </w:rPr>
        <w:t xml:space="preserve">ental </w:t>
      </w:r>
      <w:r>
        <w:rPr>
          <w:rFonts w:cs="Arial"/>
          <w:color w:val="000000"/>
          <w:szCs w:val="24"/>
        </w:rPr>
        <w:t>h</w:t>
      </w:r>
      <w:r w:rsidRPr="004D26D7">
        <w:rPr>
          <w:rFonts w:cs="Arial"/>
          <w:color w:val="000000"/>
          <w:szCs w:val="24"/>
        </w:rPr>
        <w:t>ealth problems to Remploy. </w:t>
      </w:r>
    </w:p>
    <w:p w:rsidR="0088546E" w:rsidRDefault="0088546E" w:rsidP="0084051E">
      <w:pPr>
        <w:rPr>
          <w:rFonts w:cs="Arial"/>
          <w:color w:val="000000"/>
          <w:szCs w:val="24"/>
        </w:rPr>
      </w:pPr>
      <w:r>
        <w:rPr>
          <w:rFonts w:cs="Arial"/>
          <w:color w:val="000000"/>
          <w:szCs w:val="24"/>
        </w:rPr>
        <w:t>They provide a service designed to support people experiencing depression, anxiety, stress or other mental health issues which are affecting their work.</w:t>
      </w:r>
    </w:p>
    <w:p w:rsidR="0084051E" w:rsidRPr="004D26D7" w:rsidRDefault="0084051E" w:rsidP="0084051E">
      <w:pPr>
        <w:rPr>
          <w:rFonts w:cs="Arial"/>
          <w:i/>
          <w:iCs/>
          <w:color w:val="000000"/>
          <w:szCs w:val="24"/>
        </w:rPr>
      </w:pPr>
      <w:r w:rsidRPr="004D26D7">
        <w:rPr>
          <w:rFonts w:cs="Arial"/>
          <w:color w:val="000000"/>
          <w:szCs w:val="24"/>
        </w:rPr>
        <w:t>Remploy deliver</w:t>
      </w:r>
      <w:r>
        <w:rPr>
          <w:rFonts w:cs="Arial"/>
          <w:color w:val="000000"/>
          <w:szCs w:val="24"/>
        </w:rPr>
        <w:t>s</w:t>
      </w:r>
      <w:r w:rsidRPr="004D26D7">
        <w:rPr>
          <w:rFonts w:cs="Arial"/>
          <w:color w:val="000000"/>
          <w:szCs w:val="24"/>
        </w:rPr>
        <w:t xml:space="preserve"> this service on behalf of the Access to Work Programme</w:t>
      </w:r>
      <w:r w:rsidR="004B0725">
        <w:rPr>
          <w:rFonts w:cs="Arial"/>
          <w:color w:val="000000"/>
          <w:szCs w:val="24"/>
        </w:rPr>
        <w:t xml:space="preserve"> </w:t>
      </w:r>
      <w:r w:rsidRPr="004D26D7">
        <w:rPr>
          <w:rFonts w:cs="Arial"/>
          <w:color w:val="000000"/>
          <w:szCs w:val="24"/>
        </w:rPr>
        <w:t xml:space="preserve">and can </w:t>
      </w:r>
      <w:r>
        <w:rPr>
          <w:rFonts w:cs="Arial"/>
          <w:color w:val="000000"/>
          <w:szCs w:val="24"/>
        </w:rPr>
        <w:t xml:space="preserve">talk to </w:t>
      </w:r>
      <w:r w:rsidRPr="004D26D7">
        <w:rPr>
          <w:rFonts w:cs="Arial"/>
          <w:color w:val="000000"/>
          <w:szCs w:val="24"/>
        </w:rPr>
        <w:t>patient</w:t>
      </w:r>
      <w:r>
        <w:rPr>
          <w:rFonts w:cs="Arial"/>
          <w:color w:val="000000"/>
          <w:szCs w:val="24"/>
        </w:rPr>
        <w:t>s</w:t>
      </w:r>
      <w:r w:rsidRPr="004D26D7">
        <w:rPr>
          <w:rFonts w:cs="Arial"/>
          <w:color w:val="000000"/>
          <w:szCs w:val="24"/>
        </w:rPr>
        <w:t xml:space="preserve"> about the help </w:t>
      </w:r>
      <w:r>
        <w:rPr>
          <w:rFonts w:cs="Arial"/>
          <w:color w:val="000000"/>
          <w:szCs w:val="24"/>
        </w:rPr>
        <w:t>they need and what support Remploy can</w:t>
      </w:r>
      <w:r w:rsidRPr="004D26D7">
        <w:rPr>
          <w:rFonts w:cs="Arial"/>
          <w:color w:val="000000"/>
          <w:szCs w:val="24"/>
        </w:rPr>
        <w:t xml:space="preserve"> provide.</w:t>
      </w:r>
    </w:p>
    <w:p w:rsidR="0084051E" w:rsidRDefault="0091623E" w:rsidP="0084051E">
      <w:pPr>
        <w:rPr>
          <w:rStyle w:val="Hyperlink"/>
          <w:rFonts w:cs="Arial"/>
          <w:szCs w:val="24"/>
        </w:rPr>
      </w:pPr>
      <w:hyperlink r:id="rId9" w:history="1">
        <w:r w:rsidR="0084051E" w:rsidRPr="004D26D7">
          <w:rPr>
            <w:rStyle w:val="Hyperlink"/>
            <w:rFonts w:cs="Arial"/>
            <w:szCs w:val="24"/>
          </w:rPr>
          <w:t>http://www.remploy.co.uk/info/20137/partners_and_programmes/227/workplace_mental_health_support_service</w:t>
        </w:r>
      </w:hyperlink>
    </w:p>
    <w:p w:rsidR="0084051E" w:rsidRDefault="0084051E" w:rsidP="0084051E">
      <w:pPr>
        <w:rPr>
          <w:rFonts w:cs="Arial"/>
          <w:szCs w:val="24"/>
        </w:rPr>
      </w:pPr>
    </w:p>
    <w:p w:rsidR="0088546E" w:rsidRPr="00DF5D91" w:rsidRDefault="0088546E" w:rsidP="0084051E">
      <w:pPr>
        <w:rPr>
          <w:rFonts w:cs="Arial"/>
          <w:szCs w:val="24"/>
        </w:rPr>
      </w:pPr>
    </w:p>
    <w:p w:rsidR="0084051E" w:rsidRPr="00AF636B" w:rsidRDefault="0084051E" w:rsidP="0084051E">
      <w:pPr>
        <w:rPr>
          <w:rFonts w:cs="Arial"/>
          <w:b/>
          <w:color w:val="000000"/>
          <w:szCs w:val="24"/>
        </w:rPr>
      </w:pPr>
      <w:r w:rsidRPr="00AF636B">
        <w:rPr>
          <w:rFonts w:cs="Arial"/>
          <w:b/>
          <w:color w:val="000000"/>
          <w:szCs w:val="24"/>
        </w:rPr>
        <w:lastRenderedPageBreak/>
        <w:t>DS1500 for terminally ill patients</w:t>
      </w:r>
      <w:r>
        <w:rPr>
          <w:rFonts w:cs="Arial"/>
          <w:b/>
          <w:color w:val="000000"/>
          <w:szCs w:val="24"/>
        </w:rPr>
        <w:t xml:space="preserve"> </w:t>
      </w:r>
    </w:p>
    <w:p w:rsidR="0084051E" w:rsidRDefault="0084051E" w:rsidP="0084051E">
      <w:pPr>
        <w:rPr>
          <w:rFonts w:cs="Arial"/>
          <w:color w:val="000000"/>
          <w:szCs w:val="24"/>
          <w:lang w:eastAsia="en-GB"/>
        </w:rPr>
      </w:pPr>
      <w:r>
        <w:rPr>
          <w:rFonts w:cs="Arial"/>
          <w:color w:val="000000"/>
          <w:szCs w:val="24"/>
          <w:lang w:eastAsia="en-GB"/>
        </w:rPr>
        <w:t>Patients who are terminally ill are “fast tracked” when claiming E</w:t>
      </w:r>
      <w:r w:rsidR="004B0725">
        <w:rPr>
          <w:rFonts w:cs="Arial"/>
          <w:color w:val="000000"/>
          <w:szCs w:val="24"/>
          <w:lang w:eastAsia="en-GB"/>
        </w:rPr>
        <w:t>SA</w:t>
      </w:r>
      <w:r>
        <w:rPr>
          <w:rFonts w:cs="Arial"/>
          <w:color w:val="000000"/>
          <w:szCs w:val="24"/>
          <w:lang w:eastAsia="en-GB"/>
        </w:rPr>
        <w:t xml:space="preserve"> and Personal Independence Payment.  It is therefore very important to issue a DS1500 to patients who are terminally ill without delay. The form can be given to the patient or their representative or returned direct to DWP via NHS net.</w:t>
      </w:r>
    </w:p>
    <w:p w:rsidR="0084051E" w:rsidRDefault="004B0725" w:rsidP="0084051E">
      <w:pPr>
        <w:autoSpaceDE w:val="0"/>
        <w:autoSpaceDN w:val="0"/>
        <w:rPr>
          <w:rFonts w:cs="Arial"/>
          <w:color w:val="000000"/>
          <w:szCs w:val="24"/>
          <w:lang w:eastAsia="en-GB"/>
        </w:rPr>
      </w:pPr>
      <w:r>
        <w:rPr>
          <w:rFonts w:cs="Arial"/>
          <w:color w:val="000000"/>
          <w:szCs w:val="24"/>
          <w:lang w:eastAsia="en-GB"/>
        </w:rPr>
        <w:t xml:space="preserve">In England and Scotland DS1500 and </w:t>
      </w:r>
      <w:r w:rsidR="0084051E">
        <w:rPr>
          <w:rFonts w:cs="Arial"/>
          <w:color w:val="000000"/>
          <w:szCs w:val="24"/>
          <w:lang w:eastAsia="en-GB"/>
        </w:rPr>
        <w:t>the fee form,</w:t>
      </w:r>
      <w:r>
        <w:rPr>
          <w:rFonts w:cs="Arial"/>
          <w:color w:val="000000"/>
          <w:szCs w:val="24"/>
          <w:lang w:eastAsia="en-GB"/>
        </w:rPr>
        <w:t xml:space="preserve"> </w:t>
      </w:r>
      <w:r w:rsidR="0084051E">
        <w:rPr>
          <w:rFonts w:cs="Arial"/>
          <w:color w:val="000000"/>
          <w:szCs w:val="24"/>
          <w:lang w:eastAsia="en-GB"/>
        </w:rPr>
        <w:t>may be completed electronically and submitted to DWP by using the NHSmail system. DWP can provide you with an electronic PDF version of the DS1500 and DS1500 fee form. You will need to send</w:t>
      </w:r>
      <w:r>
        <w:rPr>
          <w:rFonts w:cs="Arial"/>
          <w:color w:val="000000"/>
          <w:szCs w:val="24"/>
          <w:lang w:eastAsia="en-GB"/>
        </w:rPr>
        <w:t xml:space="preserve"> </w:t>
      </w:r>
      <w:r w:rsidR="0088546E">
        <w:rPr>
          <w:rFonts w:cs="Arial"/>
          <w:color w:val="000000"/>
          <w:szCs w:val="24"/>
          <w:lang w:eastAsia="en-GB"/>
        </w:rPr>
        <w:t xml:space="preserve">the following information </w:t>
      </w:r>
      <w:r w:rsidR="0084051E">
        <w:rPr>
          <w:rFonts w:cs="Arial"/>
          <w:color w:val="000000"/>
          <w:szCs w:val="24"/>
          <w:lang w:eastAsia="en-GB"/>
        </w:rPr>
        <w:t xml:space="preserve">from your </w:t>
      </w:r>
      <w:r w:rsidR="0084051E">
        <w:rPr>
          <w:rFonts w:cs="Arial"/>
          <w:b/>
          <w:bCs/>
          <w:color w:val="000000"/>
          <w:szCs w:val="24"/>
          <w:lang w:eastAsia="en-GB"/>
        </w:rPr>
        <w:t xml:space="preserve">current NHS.net </w:t>
      </w:r>
      <w:r w:rsidR="0084051E">
        <w:rPr>
          <w:rFonts w:cs="Arial"/>
          <w:color w:val="000000"/>
          <w:szCs w:val="24"/>
          <w:lang w:eastAsia="en-GB"/>
        </w:rPr>
        <w:t xml:space="preserve">e-mail address: </w:t>
      </w:r>
    </w:p>
    <w:p w:rsidR="0084051E" w:rsidRDefault="0084051E" w:rsidP="0084051E">
      <w:pPr>
        <w:autoSpaceDE w:val="0"/>
        <w:autoSpaceDN w:val="0"/>
        <w:rPr>
          <w:rFonts w:cs="Arial"/>
          <w:color w:val="000000"/>
          <w:szCs w:val="24"/>
          <w:lang w:eastAsia="en-GB"/>
        </w:rPr>
      </w:pPr>
      <w:r>
        <w:rPr>
          <w:rFonts w:cs="Arial"/>
          <w:color w:val="000000"/>
          <w:szCs w:val="24"/>
          <w:lang w:eastAsia="en-GB"/>
        </w:rPr>
        <w:t xml:space="preserve">• Your NHS.net e-mail address or addresses </w:t>
      </w:r>
    </w:p>
    <w:p w:rsidR="0084051E" w:rsidRDefault="0084051E" w:rsidP="0084051E">
      <w:pPr>
        <w:autoSpaceDE w:val="0"/>
        <w:autoSpaceDN w:val="0"/>
        <w:rPr>
          <w:rFonts w:cs="Arial"/>
          <w:color w:val="000000"/>
          <w:szCs w:val="24"/>
          <w:lang w:eastAsia="en-GB"/>
        </w:rPr>
      </w:pPr>
      <w:r>
        <w:rPr>
          <w:rFonts w:cs="Arial"/>
          <w:color w:val="000000"/>
          <w:szCs w:val="24"/>
          <w:lang w:eastAsia="en-GB"/>
        </w:rPr>
        <w:t xml:space="preserve">• Your surgery/hospital/office postal address and telephone number </w:t>
      </w:r>
    </w:p>
    <w:p w:rsidR="0084051E" w:rsidRDefault="0084051E" w:rsidP="0084051E">
      <w:pPr>
        <w:autoSpaceDE w:val="0"/>
        <w:autoSpaceDN w:val="0"/>
        <w:rPr>
          <w:rFonts w:cs="Arial"/>
          <w:color w:val="000000"/>
          <w:szCs w:val="24"/>
          <w:lang w:eastAsia="en-GB"/>
        </w:rPr>
      </w:pPr>
      <w:r>
        <w:rPr>
          <w:rFonts w:cs="Arial"/>
          <w:color w:val="000000"/>
          <w:szCs w:val="24"/>
          <w:lang w:eastAsia="en-GB"/>
        </w:rPr>
        <w:t xml:space="preserve">• A list of medical professionals using the same NHS.net e-mail address who complete the DS1500 and/or DS1500 fee form </w:t>
      </w:r>
    </w:p>
    <w:p w:rsidR="0084051E" w:rsidRDefault="0084051E" w:rsidP="0084051E">
      <w:pPr>
        <w:autoSpaceDE w:val="0"/>
        <w:autoSpaceDN w:val="0"/>
        <w:rPr>
          <w:rFonts w:cs="Arial"/>
          <w:color w:val="000000"/>
          <w:szCs w:val="24"/>
          <w:lang w:eastAsia="en-GB"/>
        </w:rPr>
      </w:pPr>
      <w:r>
        <w:rPr>
          <w:rFonts w:cs="Arial"/>
          <w:color w:val="000000"/>
          <w:szCs w:val="24"/>
          <w:lang w:eastAsia="en-GB"/>
        </w:rPr>
        <w:t xml:space="preserve">• Please advise where you require the DS1500 and DS1500 fee form, or the DS1500 ONLY </w:t>
      </w:r>
    </w:p>
    <w:p w:rsidR="0084051E" w:rsidRDefault="0084051E" w:rsidP="0084051E">
      <w:pPr>
        <w:autoSpaceDE w:val="0"/>
        <w:autoSpaceDN w:val="0"/>
        <w:rPr>
          <w:rFonts w:cs="Arial"/>
          <w:color w:val="000000"/>
          <w:szCs w:val="24"/>
          <w:lang w:eastAsia="en-GB"/>
        </w:rPr>
      </w:pPr>
      <w:r>
        <w:rPr>
          <w:rFonts w:cs="Arial"/>
          <w:color w:val="000000"/>
          <w:szCs w:val="24"/>
          <w:lang w:eastAsia="en-GB"/>
        </w:rPr>
        <w:t>• Send these details to</w:t>
      </w:r>
      <w:proofErr w:type="gramStart"/>
      <w:r>
        <w:rPr>
          <w:rFonts w:cs="Arial"/>
          <w:color w:val="000000"/>
          <w:szCs w:val="24"/>
          <w:lang w:eastAsia="en-GB"/>
        </w:rPr>
        <w:t>:-</w:t>
      </w:r>
      <w:proofErr w:type="gramEnd"/>
      <w:r>
        <w:rPr>
          <w:rFonts w:cs="Arial"/>
          <w:color w:val="000000"/>
          <w:szCs w:val="24"/>
          <w:lang w:eastAsia="en-GB"/>
        </w:rPr>
        <w:t xml:space="preserve"> </w:t>
      </w:r>
      <w:hyperlink r:id="rId10" w:history="1">
        <w:r>
          <w:rPr>
            <w:rStyle w:val="Hyperlink"/>
            <w:rFonts w:cs="Arial"/>
            <w:b/>
            <w:bCs/>
            <w:szCs w:val="24"/>
            <w:lang w:eastAsia="en-GB"/>
          </w:rPr>
          <w:t>PIP.E-DS1500@DWP.GSI.GOV.UK</w:t>
        </w:r>
      </w:hyperlink>
      <w:r>
        <w:rPr>
          <w:rFonts w:cs="Arial"/>
          <w:b/>
          <w:bCs/>
          <w:color w:val="000000"/>
          <w:szCs w:val="24"/>
          <w:lang w:eastAsia="en-GB"/>
        </w:rPr>
        <w:t xml:space="preserve"> </w:t>
      </w:r>
    </w:p>
    <w:p w:rsidR="0084051E" w:rsidRDefault="0084051E" w:rsidP="0084051E">
      <w:pPr>
        <w:autoSpaceDE w:val="0"/>
        <w:autoSpaceDN w:val="0"/>
        <w:rPr>
          <w:rFonts w:cs="Arial"/>
          <w:color w:val="000000"/>
          <w:szCs w:val="24"/>
          <w:lang w:eastAsia="en-GB"/>
        </w:rPr>
      </w:pPr>
      <w:r>
        <w:rPr>
          <w:rFonts w:cs="Arial"/>
          <w:color w:val="000000"/>
          <w:szCs w:val="24"/>
          <w:lang w:eastAsia="en-GB"/>
        </w:rPr>
        <w:t xml:space="preserve">Do not encrypt any part of the e-mail. GSI.GOV.UK is a secure e-mail domain, as identified by the NHS. Any e-mail from a non-NHS.net account will be automatically deleted. </w:t>
      </w:r>
    </w:p>
    <w:p w:rsidR="0084051E" w:rsidRDefault="0084051E" w:rsidP="0084051E">
      <w:pPr>
        <w:autoSpaceDE w:val="0"/>
        <w:autoSpaceDN w:val="0"/>
        <w:rPr>
          <w:rFonts w:cs="Arial"/>
          <w:color w:val="000000"/>
          <w:szCs w:val="24"/>
          <w:lang w:eastAsia="en-GB"/>
        </w:rPr>
      </w:pPr>
      <w:r>
        <w:rPr>
          <w:rFonts w:cs="Arial"/>
          <w:color w:val="000000"/>
          <w:szCs w:val="24"/>
          <w:lang w:eastAsia="en-GB"/>
        </w:rPr>
        <w:t xml:space="preserve">Attached is a link to further information which you may find helpful: </w:t>
      </w:r>
      <w:hyperlink r:id="rId11" w:history="1">
        <w:r>
          <w:rPr>
            <w:rStyle w:val="Hyperlink"/>
            <w:rFonts w:cs="Arial"/>
            <w:szCs w:val="24"/>
            <w:lang w:eastAsia="en-GB"/>
          </w:rPr>
          <w:t>https://www.gov.uk/government/uploads/system/uploads/attachment_data/file/418831/medical-reports-completion-guidance.pdf</w:t>
        </w:r>
      </w:hyperlink>
    </w:p>
    <w:p w:rsidR="0084051E" w:rsidRDefault="0084051E" w:rsidP="0084051E">
      <w:pPr>
        <w:rPr>
          <w:rFonts w:cs="Arial"/>
          <w:color w:val="000000"/>
          <w:szCs w:val="24"/>
        </w:rPr>
      </w:pPr>
    </w:p>
    <w:p w:rsidR="0084051E" w:rsidRPr="00A66466" w:rsidRDefault="0084051E" w:rsidP="0084051E">
      <w:pPr>
        <w:rPr>
          <w:rFonts w:cs="Arial"/>
          <w:b/>
          <w:color w:val="000000"/>
          <w:szCs w:val="24"/>
        </w:rPr>
      </w:pPr>
      <w:r>
        <w:rPr>
          <w:rFonts w:cs="Arial"/>
          <w:b/>
          <w:color w:val="000000"/>
          <w:szCs w:val="24"/>
        </w:rPr>
        <w:t xml:space="preserve">Fit note – updated guidance for GPs and myth busting with the </w:t>
      </w:r>
      <w:r w:rsidRPr="00A66466">
        <w:rPr>
          <w:rFonts w:cs="Arial"/>
          <w:b/>
          <w:color w:val="000000"/>
          <w:szCs w:val="24"/>
        </w:rPr>
        <w:t>CQC</w:t>
      </w:r>
    </w:p>
    <w:p w:rsidR="0084051E" w:rsidRDefault="0084051E" w:rsidP="0084051E">
      <w:pPr>
        <w:rPr>
          <w:rFonts w:cs="Arial"/>
          <w:color w:val="000000"/>
          <w:szCs w:val="24"/>
        </w:rPr>
      </w:pPr>
      <w:r>
        <w:rPr>
          <w:rFonts w:cs="Arial"/>
          <w:color w:val="000000"/>
          <w:szCs w:val="24"/>
        </w:rPr>
        <w:t xml:space="preserve">There was an update to the GP version of the </w:t>
      </w:r>
      <w:r w:rsidRPr="00F940A6">
        <w:rPr>
          <w:rFonts w:cs="Arial"/>
          <w:b/>
          <w:color w:val="000000"/>
          <w:szCs w:val="24"/>
        </w:rPr>
        <w:t>fit note guidance</w:t>
      </w:r>
      <w:r>
        <w:rPr>
          <w:rFonts w:cs="Arial"/>
          <w:color w:val="000000"/>
          <w:szCs w:val="24"/>
        </w:rPr>
        <w:t xml:space="preserve"> ‘Getting the most out of the fit note’ last year to reflect the GP</w:t>
      </w:r>
      <w:r w:rsidR="004B0725">
        <w:rPr>
          <w:rFonts w:cs="Arial"/>
          <w:color w:val="000000"/>
          <w:szCs w:val="24"/>
        </w:rPr>
        <w:t>’</w:t>
      </w:r>
      <w:r>
        <w:rPr>
          <w:rFonts w:cs="Arial"/>
          <w:color w:val="000000"/>
          <w:szCs w:val="24"/>
        </w:rPr>
        <w:t xml:space="preserve">s role in referring eligible patients to Fit for Work.  This guidance, along with versions for employers and patients, can be found at </w:t>
      </w:r>
      <w:hyperlink r:id="rId12" w:history="1">
        <w:r w:rsidRPr="009674CD">
          <w:rPr>
            <w:rStyle w:val="Hyperlink"/>
            <w:rFonts w:cs="Arial"/>
            <w:szCs w:val="24"/>
          </w:rPr>
          <w:t>https://www.gov.uk/government/publications/fit-note-guidance-for-gps</w:t>
        </w:r>
      </w:hyperlink>
      <w:r>
        <w:rPr>
          <w:rFonts w:cs="Arial"/>
          <w:color w:val="000000"/>
          <w:szCs w:val="24"/>
        </w:rPr>
        <w:t>.  CPD hours can be claimed for reading the guide and considering its implications.</w:t>
      </w:r>
    </w:p>
    <w:p w:rsidR="00D70B35" w:rsidRDefault="0084051E">
      <w:r>
        <w:rPr>
          <w:rFonts w:cs="Arial"/>
          <w:color w:val="000000"/>
          <w:szCs w:val="24"/>
        </w:rPr>
        <w:t>Professor Nigel Sparrow OBE, the CQC</w:t>
      </w:r>
      <w:r w:rsidR="004B0725">
        <w:rPr>
          <w:rFonts w:cs="Arial"/>
          <w:color w:val="000000"/>
          <w:szCs w:val="24"/>
        </w:rPr>
        <w:t>’</w:t>
      </w:r>
      <w:r>
        <w:rPr>
          <w:rFonts w:cs="Arial"/>
          <w:color w:val="000000"/>
          <w:szCs w:val="24"/>
        </w:rPr>
        <w:t xml:space="preserve">s Senior National GP Adviser, produced an </w:t>
      </w:r>
      <w:r w:rsidRPr="00F940A6">
        <w:rPr>
          <w:rFonts w:cs="Arial"/>
          <w:b/>
          <w:color w:val="000000"/>
          <w:szCs w:val="24"/>
        </w:rPr>
        <w:t>article on fit note</w:t>
      </w:r>
      <w:r>
        <w:rPr>
          <w:rFonts w:cs="Arial"/>
          <w:color w:val="000000"/>
          <w:szCs w:val="24"/>
        </w:rPr>
        <w:t xml:space="preserve"> which was published on the CQC website </w:t>
      </w:r>
      <w:r w:rsidR="004B0725">
        <w:rPr>
          <w:rFonts w:cs="Arial"/>
          <w:color w:val="000000"/>
          <w:szCs w:val="24"/>
        </w:rPr>
        <w:t>last summer.  The article focus</w:t>
      </w:r>
      <w:r>
        <w:rPr>
          <w:rFonts w:cs="Arial"/>
          <w:color w:val="000000"/>
          <w:szCs w:val="24"/>
        </w:rPr>
        <w:t>e</w:t>
      </w:r>
      <w:r w:rsidR="004B0725">
        <w:rPr>
          <w:rFonts w:cs="Arial"/>
          <w:color w:val="000000"/>
          <w:szCs w:val="24"/>
        </w:rPr>
        <w:t>d on how fit notes are used in GP p</w:t>
      </w:r>
      <w:r>
        <w:rPr>
          <w:rFonts w:cs="Arial"/>
          <w:color w:val="000000"/>
          <w:szCs w:val="24"/>
        </w:rPr>
        <w:t xml:space="preserve">ractices to provide fitness for work advice and help return to work.  Common fit note misconceptions are also addressed. The article can be found here </w:t>
      </w:r>
      <w:hyperlink r:id="rId13" w:history="1">
        <w:r w:rsidRPr="009674CD">
          <w:rPr>
            <w:rStyle w:val="Hyperlink"/>
            <w:rFonts w:cs="Arial"/>
            <w:szCs w:val="24"/>
          </w:rPr>
          <w:t>http://www.cqc.org.uk/content/nigels-surgery-40-gp-fit-note</w:t>
        </w:r>
      </w:hyperlink>
      <w:r>
        <w:rPr>
          <w:rFonts w:cs="Arial"/>
          <w:color w:val="000000"/>
          <w:szCs w:val="24"/>
        </w:rPr>
        <w:t xml:space="preserve"> </w:t>
      </w:r>
    </w:p>
    <w:sectPr w:rsidR="00D70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6C54"/>
    <w:multiLevelType w:val="hybridMultilevel"/>
    <w:tmpl w:val="3EB8A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8C357B7"/>
    <w:multiLevelType w:val="hybridMultilevel"/>
    <w:tmpl w:val="976A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1E"/>
    <w:rsid w:val="004B0725"/>
    <w:rsid w:val="0084051E"/>
    <w:rsid w:val="0088546E"/>
    <w:rsid w:val="0091623E"/>
    <w:rsid w:val="00D70B35"/>
    <w:rsid w:val="00E64F6A"/>
    <w:rsid w:val="00E719F2"/>
    <w:rsid w:val="00F12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51E"/>
    <w:pPr>
      <w:ind w:left="720"/>
      <w:contextualSpacing/>
    </w:pPr>
  </w:style>
  <w:style w:type="character" w:styleId="CommentReference">
    <w:name w:val="annotation reference"/>
    <w:basedOn w:val="DefaultParagraphFont"/>
    <w:uiPriority w:val="99"/>
    <w:semiHidden/>
    <w:unhideWhenUsed/>
    <w:rsid w:val="0084051E"/>
    <w:rPr>
      <w:sz w:val="16"/>
      <w:szCs w:val="16"/>
    </w:rPr>
  </w:style>
  <w:style w:type="paragraph" w:styleId="CommentText">
    <w:name w:val="annotation text"/>
    <w:basedOn w:val="Normal"/>
    <w:link w:val="CommentTextChar"/>
    <w:uiPriority w:val="99"/>
    <w:semiHidden/>
    <w:unhideWhenUsed/>
    <w:rsid w:val="0084051E"/>
    <w:pPr>
      <w:spacing w:line="240" w:lineRule="auto"/>
    </w:pPr>
    <w:rPr>
      <w:sz w:val="20"/>
      <w:szCs w:val="20"/>
    </w:rPr>
  </w:style>
  <w:style w:type="character" w:customStyle="1" w:styleId="CommentTextChar">
    <w:name w:val="Comment Text Char"/>
    <w:basedOn w:val="DefaultParagraphFont"/>
    <w:link w:val="CommentText"/>
    <w:uiPriority w:val="99"/>
    <w:semiHidden/>
    <w:rsid w:val="0084051E"/>
    <w:rPr>
      <w:sz w:val="20"/>
      <w:szCs w:val="20"/>
    </w:rPr>
  </w:style>
  <w:style w:type="character" w:styleId="Hyperlink">
    <w:name w:val="Hyperlink"/>
    <w:basedOn w:val="DefaultParagraphFont"/>
    <w:uiPriority w:val="99"/>
    <w:unhideWhenUsed/>
    <w:rsid w:val="0084051E"/>
    <w:rPr>
      <w:color w:val="0000FF" w:themeColor="hyperlink"/>
      <w:u w:val="single"/>
    </w:rPr>
  </w:style>
  <w:style w:type="paragraph" w:styleId="BalloonText">
    <w:name w:val="Balloon Text"/>
    <w:basedOn w:val="Normal"/>
    <w:link w:val="BalloonTextChar"/>
    <w:uiPriority w:val="99"/>
    <w:semiHidden/>
    <w:unhideWhenUsed/>
    <w:rsid w:val="0084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1E"/>
    <w:rPr>
      <w:rFonts w:ascii="Tahoma" w:hAnsi="Tahoma" w:cs="Tahoma"/>
      <w:sz w:val="16"/>
      <w:szCs w:val="16"/>
    </w:rPr>
  </w:style>
  <w:style w:type="character" w:styleId="FollowedHyperlink">
    <w:name w:val="FollowedHyperlink"/>
    <w:basedOn w:val="DefaultParagraphFont"/>
    <w:uiPriority w:val="99"/>
    <w:semiHidden/>
    <w:unhideWhenUsed/>
    <w:rsid w:val="004B07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51E"/>
    <w:pPr>
      <w:ind w:left="720"/>
      <w:contextualSpacing/>
    </w:pPr>
  </w:style>
  <w:style w:type="character" w:styleId="CommentReference">
    <w:name w:val="annotation reference"/>
    <w:basedOn w:val="DefaultParagraphFont"/>
    <w:uiPriority w:val="99"/>
    <w:semiHidden/>
    <w:unhideWhenUsed/>
    <w:rsid w:val="0084051E"/>
    <w:rPr>
      <w:sz w:val="16"/>
      <w:szCs w:val="16"/>
    </w:rPr>
  </w:style>
  <w:style w:type="paragraph" w:styleId="CommentText">
    <w:name w:val="annotation text"/>
    <w:basedOn w:val="Normal"/>
    <w:link w:val="CommentTextChar"/>
    <w:uiPriority w:val="99"/>
    <w:semiHidden/>
    <w:unhideWhenUsed/>
    <w:rsid w:val="0084051E"/>
    <w:pPr>
      <w:spacing w:line="240" w:lineRule="auto"/>
    </w:pPr>
    <w:rPr>
      <w:sz w:val="20"/>
      <w:szCs w:val="20"/>
    </w:rPr>
  </w:style>
  <w:style w:type="character" w:customStyle="1" w:styleId="CommentTextChar">
    <w:name w:val="Comment Text Char"/>
    <w:basedOn w:val="DefaultParagraphFont"/>
    <w:link w:val="CommentText"/>
    <w:uiPriority w:val="99"/>
    <w:semiHidden/>
    <w:rsid w:val="0084051E"/>
    <w:rPr>
      <w:sz w:val="20"/>
      <w:szCs w:val="20"/>
    </w:rPr>
  </w:style>
  <w:style w:type="character" w:styleId="Hyperlink">
    <w:name w:val="Hyperlink"/>
    <w:basedOn w:val="DefaultParagraphFont"/>
    <w:uiPriority w:val="99"/>
    <w:unhideWhenUsed/>
    <w:rsid w:val="0084051E"/>
    <w:rPr>
      <w:color w:val="0000FF" w:themeColor="hyperlink"/>
      <w:u w:val="single"/>
    </w:rPr>
  </w:style>
  <w:style w:type="paragraph" w:styleId="BalloonText">
    <w:name w:val="Balloon Text"/>
    <w:basedOn w:val="Normal"/>
    <w:link w:val="BalloonTextChar"/>
    <w:uiPriority w:val="99"/>
    <w:semiHidden/>
    <w:unhideWhenUsed/>
    <w:rsid w:val="0084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1E"/>
    <w:rPr>
      <w:rFonts w:ascii="Tahoma" w:hAnsi="Tahoma" w:cs="Tahoma"/>
      <w:sz w:val="16"/>
      <w:szCs w:val="16"/>
    </w:rPr>
  </w:style>
  <w:style w:type="character" w:styleId="FollowedHyperlink">
    <w:name w:val="FollowedHyperlink"/>
    <w:basedOn w:val="DefaultParagraphFont"/>
    <w:uiPriority w:val="99"/>
    <w:semiHidden/>
    <w:unhideWhenUsed/>
    <w:rsid w:val="004B0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forworkscotland.scot" TargetMode="External"/><Relationship Id="rId13" Type="http://schemas.openxmlformats.org/officeDocument/2006/relationships/hyperlink" Target="http://www.cqc.org.uk/content/nigels-surgery-40-gp-fit-note" TargetMode="External"/><Relationship Id="rId3" Type="http://schemas.microsoft.com/office/2007/relationships/stylesWithEffects" Target="stylesWithEffects.xml"/><Relationship Id="rId7" Type="http://schemas.openxmlformats.org/officeDocument/2006/relationships/hyperlink" Target="http://www.fitforwork.org" TargetMode="External"/><Relationship Id="rId12" Type="http://schemas.openxmlformats.org/officeDocument/2006/relationships/hyperlink" Target="https://www.gov.uk/government/publications/fit-note-guidance-for-g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government/uploads/system/uploads/attachment_data/file/418831/medical-reports-completion-guidan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P.E-DS1500@DWP.GSI.GOV.UK" TargetMode="External"/><Relationship Id="rId4" Type="http://schemas.openxmlformats.org/officeDocument/2006/relationships/settings" Target="settings.xml"/><Relationship Id="rId9" Type="http://schemas.openxmlformats.org/officeDocument/2006/relationships/hyperlink" Target="http://www.remploy.co.uk/info/20137/partners_and_programmes/227/workplace_mental_health_support_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Nalty Catherine STRATEGY ESA</dc:creator>
  <cp:lastModifiedBy>Hellens Jill (Somerset LMC)</cp:lastModifiedBy>
  <cp:revision>2</cp:revision>
  <dcterms:created xsi:type="dcterms:W3CDTF">2016-03-23T13:23:00Z</dcterms:created>
  <dcterms:modified xsi:type="dcterms:W3CDTF">2016-03-23T13:23:00Z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176292074</vt:i4>
  </property>
  <property fmtid="{D5CDD505-2E9C-101B-9397-08002B2CF9AE}" pid="3" name="_NewReviewCycle">
    <vt:lpwstr/>
  </property>
  <property fmtid="{D5CDD505-2E9C-101B-9397-08002B2CF9AE}" pid="4" name="_EmailSubject">
    <vt:lpwstr>GPC newsletter</vt:lpwstr>
  </property>
  <property fmtid="{D5CDD505-2E9C-101B-9397-08002B2CF9AE}" pid="5" name="_AuthorEmail">
    <vt:lpwstr>MARK.ALLERTON@DWP.GSI.GOV.UK</vt:lpwstr>
  </property>
  <property fmtid="{D5CDD505-2E9C-101B-9397-08002B2CF9AE}" pid="6" name="_AuthorEmailDisplayName">
    <vt:lpwstr>Allerton Mark STRATEGY HEALTH &amp; SCIENCE</vt:lpwstr>
  </property>
  <property fmtid="{D5CDD505-2E9C-101B-9397-08002B2CF9AE}" pid="7" name="_PreviousAdHocReviewCycleID">
    <vt:i4>-1790663887</vt:i4>
  </property>
  <property fmtid="{D5CDD505-2E9C-101B-9397-08002B2CF9AE}" pid="8" name="_ReviewingToolsShownOnce">
    <vt:lpwstr/>
  </property>
</Properties>
</file>