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D44A" w14:textId="60948DD9" w:rsidR="00A407E4" w:rsidRDefault="0ED01E68" w:rsidP="5A6DFA85">
      <w:pPr>
        <w:pStyle w:val="Heading1"/>
        <w:shd w:val="clear" w:color="auto" w:fill="FFFFFF" w:themeFill="background1"/>
        <w:spacing w:before="0" w:after="0"/>
      </w:pPr>
      <w:r w:rsidRPr="5A6DFA85">
        <w:rPr>
          <w:rFonts w:ascii="Arial" w:eastAsia="Arial" w:hAnsi="Arial" w:cs="Arial"/>
          <w:b/>
          <w:bCs/>
          <w:color w:val="0F6CB6"/>
          <w:sz w:val="24"/>
          <w:szCs w:val="24"/>
        </w:rPr>
        <w:t>Standard Report for: Pharmacy First - Patient Registration</w:t>
      </w:r>
    </w:p>
    <w:p w14:paraId="63DB0B34" w14:textId="64D4ADD2" w:rsidR="00A407E4" w:rsidRDefault="0ED01E68" w:rsidP="5A6DFA85">
      <w:pPr>
        <w:pStyle w:val="Heading2"/>
        <w:shd w:val="clear" w:color="auto" w:fill="FFFFFF" w:themeFill="background1"/>
        <w:spacing w:before="90" w:after="0"/>
      </w:pPr>
      <w:r w:rsidRPr="5A6DFA85">
        <w:rPr>
          <w:rFonts w:ascii="Arial" w:eastAsia="Arial" w:hAnsi="Arial" w:cs="Arial"/>
          <w:b/>
          <w:bCs/>
          <w:color w:val="0F6CB6"/>
          <w:sz w:val="24"/>
          <w:szCs w:val="24"/>
        </w:rPr>
        <w:t xml:space="preserve">Report date: </w:t>
      </w:r>
      <w:proofErr w:type="gramStart"/>
      <w:r w:rsidRPr="5A6DFA85">
        <w:rPr>
          <w:rFonts w:ascii="Arial" w:eastAsia="Arial" w:hAnsi="Arial" w:cs="Arial"/>
          <w:b/>
          <w:bCs/>
          <w:color w:val="0F6CB6"/>
          <w:sz w:val="24"/>
          <w:szCs w:val="24"/>
        </w:rPr>
        <w:t>2024-02-27</w:t>
      </w:r>
      <w:proofErr w:type="gramEnd"/>
    </w:p>
    <w:p w14:paraId="4E1D1E55" w14:textId="54847CFD" w:rsidR="00A407E4" w:rsidRDefault="0ED01E68" w:rsidP="5A6DFA85">
      <w:pPr>
        <w:pStyle w:val="Heading2"/>
        <w:shd w:val="clear" w:color="auto" w:fill="FFFFFF" w:themeFill="background1"/>
        <w:spacing w:before="90" w:after="0"/>
      </w:pPr>
      <w:r w:rsidRPr="5A6DFA85">
        <w:rPr>
          <w:rFonts w:ascii="Arial" w:eastAsia="Arial" w:hAnsi="Arial" w:cs="Arial"/>
          <w:b/>
          <w:bCs/>
          <w:color w:val="0F6CB6"/>
          <w:sz w:val="24"/>
          <w:szCs w:val="24"/>
        </w:rPr>
        <w:t>Report period: Full duration of service</w:t>
      </w:r>
      <w:r w:rsidR="001D0169">
        <w:rPr>
          <w:rFonts w:ascii="Arial" w:eastAsia="Arial" w:hAnsi="Arial" w:cs="Arial"/>
          <w:b/>
          <w:bCs/>
          <w:color w:val="0F6CB6"/>
          <w:sz w:val="24"/>
          <w:szCs w:val="24"/>
        </w:rPr>
        <w:t xml:space="preserve"> 31</w:t>
      </w:r>
      <w:r w:rsidR="001D0169" w:rsidRPr="001D0169">
        <w:rPr>
          <w:rFonts w:ascii="Arial" w:eastAsia="Arial" w:hAnsi="Arial" w:cs="Arial"/>
          <w:b/>
          <w:bCs/>
          <w:color w:val="0F6CB6"/>
          <w:sz w:val="24"/>
          <w:szCs w:val="24"/>
          <w:vertAlign w:val="superscript"/>
        </w:rPr>
        <w:t>st</w:t>
      </w:r>
      <w:r w:rsidR="001D0169">
        <w:rPr>
          <w:rFonts w:ascii="Arial" w:eastAsia="Arial" w:hAnsi="Arial" w:cs="Arial"/>
          <w:b/>
          <w:bCs/>
          <w:color w:val="0F6CB6"/>
          <w:sz w:val="24"/>
          <w:szCs w:val="24"/>
        </w:rPr>
        <w:t xml:space="preserve"> Jan 2024 to 20</w:t>
      </w:r>
      <w:r w:rsidR="001D0169" w:rsidRPr="001D0169">
        <w:rPr>
          <w:rFonts w:ascii="Arial" w:eastAsia="Arial" w:hAnsi="Arial" w:cs="Arial"/>
          <w:b/>
          <w:bCs/>
          <w:color w:val="0F6CB6"/>
          <w:sz w:val="24"/>
          <w:szCs w:val="24"/>
          <w:vertAlign w:val="superscript"/>
        </w:rPr>
        <w:t>th</w:t>
      </w:r>
      <w:r w:rsidR="001D0169">
        <w:rPr>
          <w:rFonts w:ascii="Arial" w:eastAsia="Arial" w:hAnsi="Arial" w:cs="Arial"/>
          <w:b/>
          <w:bCs/>
          <w:color w:val="0F6CB6"/>
          <w:sz w:val="24"/>
          <w:szCs w:val="24"/>
        </w:rPr>
        <w:t xml:space="preserve"> </w:t>
      </w:r>
      <w:proofErr w:type="gramStart"/>
      <w:r w:rsidR="001D0169">
        <w:rPr>
          <w:rFonts w:ascii="Arial" w:eastAsia="Arial" w:hAnsi="Arial" w:cs="Arial"/>
          <w:b/>
          <w:bCs/>
          <w:color w:val="0F6CB6"/>
          <w:sz w:val="24"/>
          <w:szCs w:val="24"/>
        </w:rPr>
        <w:t>March2024</w:t>
      </w:r>
      <w:proofErr w:type="gramEnd"/>
    </w:p>
    <w:p w14:paraId="19BB1A70" w14:textId="32178194" w:rsidR="00A407E4" w:rsidRDefault="0ED01E68" w:rsidP="5A6DFA85">
      <w:pPr>
        <w:pStyle w:val="Heading2"/>
        <w:shd w:val="clear" w:color="auto" w:fill="FFFFFF" w:themeFill="background1"/>
        <w:spacing w:before="90" w:after="0"/>
        <w:ind w:right="150"/>
      </w:pPr>
      <w:r w:rsidRPr="5A6DFA85">
        <w:rPr>
          <w:rFonts w:ascii="Arial" w:eastAsia="Arial" w:hAnsi="Arial" w:cs="Arial"/>
          <w:b/>
          <w:bCs/>
          <w:color w:val="0F6CB6"/>
          <w:sz w:val="16"/>
          <w:szCs w:val="16"/>
        </w:rPr>
        <w:t>Activity Indicators</w:t>
      </w:r>
    </w:p>
    <w:p w14:paraId="7B81E532" w14:textId="2F2F8EB0" w:rsidR="00A407E4" w:rsidRDefault="0ED01E68" w:rsidP="5A6DFA85">
      <w:pPr>
        <w:pBdr>
          <w:top w:val="single" w:sz="6" w:space="12" w:color="0F6CB6"/>
          <w:left w:val="single" w:sz="6" w:space="12" w:color="0F6CB6"/>
          <w:bottom w:val="single" w:sz="6" w:space="12" w:color="0F6CB6"/>
          <w:right w:val="single" w:sz="6" w:space="12" w:color="0F6CB6"/>
        </w:pBdr>
        <w:shd w:val="clear" w:color="auto" w:fill="FFFFFF" w:themeFill="background1"/>
        <w:spacing w:before="150" w:after="300"/>
        <w:ind w:right="150"/>
      </w:pPr>
      <w:r w:rsidRPr="5A6DFA85">
        <w:rPr>
          <w:rFonts w:ascii="Arial" w:eastAsia="Arial" w:hAnsi="Arial" w:cs="Arial"/>
          <w:color w:val="646363"/>
          <w:sz w:val="16"/>
          <w:szCs w:val="16"/>
        </w:rPr>
        <w:t>Active Providers in your area = 5</w:t>
      </w:r>
      <w:r w:rsidR="001D0169">
        <w:rPr>
          <w:rFonts w:ascii="Arial" w:eastAsia="Arial" w:hAnsi="Arial" w:cs="Arial"/>
          <w:color w:val="646363"/>
          <w:sz w:val="16"/>
          <w:szCs w:val="16"/>
        </w:rPr>
        <w:t>4</w:t>
      </w:r>
      <w:r>
        <w:br/>
      </w:r>
      <w:r w:rsidRPr="5A6DFA85">
        <w:rPr>
          <w:rFonts w:ascii="Arial" w:eastAsia="Arial" w:hAnsi="Arial" w:cs="Arial"/>
          <w:color w:val="646363"/>
          <w:sz w:val="16"/>
          <w:szCs w:val="16"/>
        </w:rPr>
        <w:t xml:space="preserve">Number of Provisions or Personal Interactions = </w:t>
      </w:r>
      <w:r w:rsidR="001D0169">
        <w:rPr>
          <w:rFonts w:ascii="Arial" w:eastAsia="Arial" w:hAnsi="Arial" w:cs="Arial"/>
          <w:color w:val="646363"/>
          <w:sz w:val="16"/>
          <w:szCs w:val="16"/>
        </w:rPr>
        <w:t>4085</w:t>
      </w:r>
    </w:p>
    <w:p w14:paraId="7CE672C3" w14:textId="738745D5" w:rsidR="00A407E4" w:rsidRDefault="0ED01E68" w:rsidP="5A6DFA85">
      <w:pPr>
        <w:pStyle w:val="Heading2"/>
        <w:spacing w:before="90" w:after="0"/>
      </w:pPr>
      <w:r w:rsidRPr="5A6DFA85">
        <w:rPr>
          <w:rFonts w:ascii="Aptos" w:eastAsia="Aptos" w:hAnsi="Aptos" w:cs="Aptos"/>
          <w:b/>
          <w:bCs/>
          <w:color w:val="0F6CB6"/>
          <w:sz w:val="24"/>
          <w:szCs w:val="24"/>
        </w:rPr>
        <w:t>Referral Outcomes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84"/>
        <w:gridCol w:w="856"/>
      </w:tblGrid>
      <w:tr w:rsidR="5A6DFA85" w14:paraId="57922CC9" w14:textId="77777777" w:rsidTr="5A6DFA85">
        <w:trPr>
          <w:trHeight w:val="555"/>
        </w:trPr>
        <w:tc>
          <w:tcPr>
            <w:tcW w:w="2284" w:type="dxa"/>
            <w:tcBorders>
              <w:top w:val="single" w:sz="0" w:space="0" w:color="auto"/>
              <w:left w:val="single" w:sz="0" w:space="0" w:color="auto"/>
              <w:bottom w:val="single" w:sz="12" w:space="0" w:color="FFFFFF" w:themeColor="background1"/>
              <w:right w:val="single" w:sz="0" w:space="0" w:color="auto"/>
            </w:tcBorders>
            <w:shd w:val="clear" w:color="auto" w:fill="0F6CB6"/>
            <w:tcMar>
              <w:left w:w="60" w:type="dxa"/>
              <w:right w:w="60" w:type="dxa"/>
            </w:tcMar>
            <w:vAlign w:val="center"/>
          </w:tcPr>
          <w:p w14:paraId="65E24D92" w14:textId="537D5D7E" w:rsidR="5A6DFA85" w:rsidRDefault="5A6DFA85" w:rsidP="5A6DFA85">
            <w:pPr>
              <w:shd w:val="clear" w:color="auto" w:fill="F3F3F3"/>
              <w:spacing w:after="0" w:line="390" w:lineRule="exact"/>
            </w:pPr>
            <w:r w:rsidRPr="5A6DFA8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Referral status</w:t>
            </w:r>
          </w:p>
        </w:tc>
        <w:tc>
          <w:tcPr>
            <w:tcW w:w="856" w:type="dxa"/>
            <w:tcBorders>
              <w:top w:val="single" w:sz="0" w:space="0" w:color="auto"/>
              <w:left w:val="single" w:sz="0" w:space="0" w:color="auto"/>
              <w:bottom w:val="single" w:sz="12" w:space="0" w:color="FFFFFF" w:themeColor="background1"/>
              <w:right w:val="single" w:sz="0" w:space="0" w:color="auto"/>
            </w:tcBorders>
            <w:shd w:val="clear" w:color="auto" w:fill="0F6CB6"/>
            <w:tcMar>
              <w:left w:w="60" w:type="dxa"/>
              <w:right w:w="60" w:type="dxa"/>
            </w:tcMar>
            <w:vAlign w:val="center"/>
          </w:tcPr>
          <w:p w14:paraId="2FEFF402" w14:textId="67A332B2" w:rsidR="5A6DFA85" w:rsidRDefault="5A6DFA85" w:rsidP="5A6DFA85">
            <w:pPr>
              <w:shd w:val="clear" w:color="auto" w:fill="F3F3F3"/>
              <w:spacing w:after="0" w:line="390" w:lineRule="exact"/>
            </w:pPr>
            <w:r w:rsidRPr="5A6DFA8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Number</w:t>
            </w:r>
          </w:p>
        </w:tc>
      </w:tr>
      <w:tr w:rsidR="5A6DFA85" w14:paraId="5E3F37F4" w14:textId="77777777" w:rsidTr="5A6DFA85">
        <w:trPr>
          <w:trHeight w:val="390"/>
        </w:trPr>
        <w:tc>
          <w:tcPr>
            <w:tcW w:w="2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4EA18B9D" w14:textId="5B2D2CDC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Referred, outstanding</w:t>
            </w:r>
          </w:p>
        </w:tc>
        <w:tc>
          <w:tcPr>
            <w:tcW w:w="8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49B90C3B" w14:textId="06E68A47" w:rsidR="5A6DFA85" w:rsidRDefault="001D0169" w:rsidP="5A6DFA85">
            <w:pPr>
              <w:shd w:val="clear" w:color="auto" w:fill="F3F3F3"/>
              <w:spacing w:after="0" w:line="390" w:lineRule="exact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109</w:t>
            </w:r>
          </w:p>
        </w:tc>
      </w:tr>
      <w:tr w:rsidR="5A6DFA85" w14:paraId="588948A2" w14:textId="77777777" w:rsidTr="5A6DFA85">
        <w:trPr>
          <w:trHeight w:val="390"/>
        </w:trPr>
        <w:tc>
          <w:tcPr>
            <w:tcW w:w="2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1391679C" w14:textId="7BFBD948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Rejected</w:t>
            </w:r>
          </w:p>
        </w:tc>
        <w:tc>
          <w:tcPr>
            <w:tcW w:w="8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3C2D3217" w14:textId="57AA8A72" w:rsidR="5A6DFA85" w:rsidRDefault="001D0169" w:rsidP="5A6DFA85">
            <w:pPr>
              <w:shd w:val="clear" w:color="auto" w:fill="F3F3F3"/>
              <w:spacing w:after="0" w:line="390" w:lineRule="exact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709</w:t>
            </w:r>
          </w:p>
        </w:tc>
      </w:tr>
      <w:tr w:rsidR="5A6DFA85" w14:paraId="35DDC867" w14:textId="77777777" w:rsidTr="5A6DFA85">
        <w:trPr>
          <w:trHeight w:val="390"/>
        </w:trPr>
        <w:tc>
          <w:tcPr>
            <w:tcW w:w="2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1D8D3AED" w14:textId="51E35A24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Accepted but not completed</w:t>
            </w:r>
          </w:p>
        </w:tc>
        <w:tc>
          <w:tcPr>
            <w:tcW w:w="8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75B01379" w14:textId="18B7621C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1D0169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</w:tr>
      <w:tr w:rsidR="5A6DFA85" w14:paraId="3D7DD4A0" w14:textId="77777777" w:rsidTr="5A6DFA85">
        <w:trPr>
          <w:trHeight w:val="390"/>
        </w:trPr>
        <w:tc>
          <w:tcPr>
            <w:tcW w:w="2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10D83526" w14:textId="1DA93060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Completed</w:t>
            </w:r>
          </w:p>
        </w:tc>
        <w:tc>
          <w:tcPr>
            <w:tcW w:w="8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38F3A773" w14:textId="5EEFB839" w:rsidR="5A6DFA85" w:rsidRDefault="001D0169" w:rsidP="5A6DFA85">
            <w:pPr>
              <w:shd w:val="clear" w:color="auto" w:fill="F3F3F3"/>
              <w:spacing w:after="0" w:line="390" w:lineRule="exact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3244</w:t>
            </w:r>
          </w:p>
        </w:tc>
      </w:tr>
    </w:tbl>
    <w:p w14:paraId="6528B6F7" w14:textId="122204B6" w:rsidR="00A407E4" w:rsidRDefault="438969DA" w:rsidP="5A6DFA85">
      <w:pPr>
        <w:pStyle w:val="Heading2"/>
        <w:shd w:val="clear" w:color="auto" w:fill="FFFFFF" w:themeFill="background1"/>
        <w:spacing w:before="90" w:after="0"/>
      </w:pPr>
      <w:r w:rsidRPr="5A6DFA85">
        <w:rPr>
          <w:rFonts w:ascii="Arial" w:eastAsia="Arial" w:hAnsi="Arial" w:cs="Arial"/>
          <w:b/>
          <w:bCs/>
          <w:color w:val="0F6CB6"/>
          <w:sz w:val="24"/>
          <w:szCs w:val="24"/>
        </w:rPr>
        <w:t>Days of Attendance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533"/>
        <w:gridCol w:w="1649"/>
      </w:tblGrid>
      <w:tr w:rsidR="5A6DFA85" w14:paraId="4ED1E21F" w14:textId="77777777" w:rsidTr="5A6DFA85">
        <w:trPr>
          <w:trHeight w:val="555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12" w:space="0" w:color="FFFFFF" w:themeColor="background1"/>
              <w:right w:val="single" w:sz="0" w:space="0" w:color="auto"/>
            </w:tcBorders>
            <w:shd w:val="clear" w:color="auto" w:fill="0F6CB6"/>
            <w:tcMar>
              <w:left w:w="60" w:type="dxa"/>
              <w:right w:w="60" w:type="dxa"/>
            </w:tcMar>
            <w:vAlign w:val="center"/>
          </w:tcPr>
          <w:p w14:paraId="23EABF9E" w14:textId="559A65BD" w:rsidR="5A6DFA85" w:rsidRDefault="5A6DFA85" w:rsidP="5A6DFA85">
            <w:pPr>
              <w:shd w:val="clear" w:color="auto" w:fill="F3F3F3"/>
              <w:spacing w:after="0" w:line="390" w:lineRule="exact"/>
            </w:pPr>
            <w:r w:rsidRPr="5A6DFA8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Day of the Week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12" w:space="0" w:color="FFFFFF" w:themeColor="background1"/>
              <w:right w:val="single" w:sz="0" w:space="0" w:color="auto"/>
            </w:tcBorders>
            <w:shd w:val="clear" w:color="auto" w:fill="0F6CB6"/>
            <w:tcMar>
              <w:left w:w="60" w:type="dxa"/>
              <w:right w:w="60" w:type="dxa"/>
            </w:tcMar>
            <w:vAlign w:val="center"/>
          </w:tcPr>
          <w:p w14:paraId="5CF5A808" w14:textId="2827C327" w:rsidR="5A6DFA85" w:rsidRDefault="5A6DFA85" w:rsidP="5A6DFA85">
            <w:pPr>
              <w:shd w:val="clear" w:color="auto" w:fill="F3F3F3"/>
              <w:spacing w:after="0" w:line="390" w:lineRule="exact"/>
            </w:pPr>
            <w:r w:rsidRPr="5A6DFA85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Number of People</w:t>
            </w:r>
          </w:p>
        </w:tc>
      </w:tr>
      <w:tr w:rsidR="5A6DFA85" w14:paraId="37E35453" w14:textId="77777777" w:rsidTr="5A6DFA85">
        <w:trPr>
          <w:trHeight w:val="390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37044017" w14:textId="521E5A86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Mon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63001814" w14:textId="35A0CBFA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591 (27.1%)</w:t>
            </w:r>
          </w:p>
        </w:tc>
      </w:tr>
      <w:tr w:rsidR="5A6DFA85" w14:paraId="388AAA34" w14:textId="77777777" w:rsidTr="5A6DFA85">
        <w:trPr>
          <w:trHeight w:val="390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52CFAC27" w14:textId="7921A433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Tue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6E1A2CFD" w14:textId="161BFE61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433 (19.8%)</w:t>
            </w:r>
          </w:p>
        </w:tc>
      </w:tr>
      <w:tr w:rsidR="5A6DFA85" w14:paraId="6DFA2AC5" w14:textId="77777777" w:rsidTr="5A6DFA85">
        <w:trPr>
          <w:trHeight w:val="390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104E23B0" w14:textId="61AABB5A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Wed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3C006D51" w14:textId="6670E9B1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407 (18.6%)</w:t>
            </w:r>
          </w:p>
        </w:tc>
      </w:tr>
      <w:tr w:rsidR="5A6DFA85" w14:paraId="38E349DB" w14:textId="77777777" w:rsidTr="5A6DFA85">
        <w:trPr>
          <w:trHeight w:val="390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40A0B191" w14:textId="61BB890C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Thu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1C32FDF1" w14:textId="3E0DF624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349 (16%)</w:t>
            </w:r>
          </w:p>
        </w:tc>
      </w:tr>
      <w:tr w:rsidR="5A6DFA85" w14:paraId="5D469711" w14:textId="77777777" w:rsidTr="5A6DFA85">
        <w:trPr>
          <w:trHeight w:val="390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0DC4E80C" w14:textId="415170CB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Fri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27F8ADF5" w14:textId="2EFAFD0A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402 (18.4%)</w:t>
            </w:r>
          </w:p>
        </w:tc>
      </w:tr>
      <w:tr w:rsidR="5A6DFA85" w14:paraId="550BE061" w14:textId="77777777" w:rsidTr="5A6DFA85">
        <w:trPr>
          <w:trHeight w:val="390"/>
        </w:trPr>
        <w:tc>
          <w:tcPr>
            <w:tcW w:w="153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475AAB77" w14:textId="527C7115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Sat</w:t>
            </w:r>
          </w:p>
        </w:tc>
        <w:tc>
          <w:tcPr>
            <w:tcW w:w="16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FFFFFF" w:themeColor="background1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14:paraId="0BA7ABFD" w14:textId="186192F0" w:rsidR="5A6DFA85" w:rsidRDefault="5A6DFA85" w:rsidP="5A6DFA85">
            <w:pPr>
              <w:shd w:val="clear" w:color="auto" w:fill="F3F3F3"/>
              <w:spacing w:after="0" w:line="390" w:lineRule="exact"/>
              <w:jc w:val="center"/>
            </w:pPr>
            <w:r w:rsidRPr="5A6DFA85">
              <w:rPr>
                <w:rFonts w:ascii="Arial" w:eastAsia="Arial" w:hAnsi="Arial" w:cs="Arial"/>
                <w:sz w:val="16"/>
                <w:szCs w:val="16"/>
              </w:rPr>
              <w:t>2 (0.1%)</w:t>
            </w:r>
          </w:p>
        </w:tc>
      </w:tr>
    </w:tbl>
    <w:p w14:paraId="5DB757FC" w14:textId="77777777" w:rsidR="001D0169" w:rsidRDefault="001D0169" w:rsidP="001D0169">
      <w:pPr>
        <w:pStyle w:val="Heading2"/>
        <w:shd w:val="clear" w:color="auto" w:fill="FFFFFF"/>
        <w:spacing w:before="90" w:after="0"/>
        <w:rPr>
          <w:rFonts w:ascii="Arial" w:hAnsi="Arial" w:cs="Arial"/>
          <w:color w:val="0F6CB6"/>
          <w:sz w:val="34"/>
          <w:szCs w:val="34"/>
        </w:rPr>
      </w:pPr>
      <w:r>
        <w:rPr>
          <w:rFonts w:ascii="Arial" w:hAnsi="Arial" w:cs="Arial"/>
          <w:color w:val="0F6CB6"/>
          <w:sz w:val="34"/>
          <w:szCs w:val="34"/>
        </w:rPr>
        <w:t>Uptake Profile Through Life of Service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603"/>
      </w:tblGrid>
      <w:tr w:rsidR="001D0169" w14:paraId="1E553664" w14:textId="77777777" w:rsidTr="001D0169">
        <w:trPr>
          <w:trHeight w:val="555"/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B73D54" w14:textId="77777777" w:rsidR="001D0169" w:rsidRDefault="001D0169">
            <w:pPr>
              <w:spacing w:line="240" w:lineRule="atLeast"/>
              <w:rPr>
                <w:rFonts w:ascii="inherit" w:hAnsi="inherit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</w:rPr>
              <w:t>Month Commencing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0F6CB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B8B71A" w14:textId="77777777" w:rsidR="001D0169" w:rsidRDefault="001D0169">
            <w:pPr>
              <w:spacing w:line="240" w:lineRule="atLeast"/>
              <w:rPr>
                <w:rFonts w:ascii="inherit" w:hAnsi="inherit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inherit" w:hAnsi="inherit" w:cs="Arial"/>
                <w:b/>
                <w:bCs/>
                <w:color w:val="FFFFFF"/>
                <w:sz w:val="18"/>
                <w:szCs w:val="18"/>
              </w:rPr>
              <w:t>Number of People</w:t>
            </w:r>
          </w:p>
        </w:tc>
      </w:tr>
      <w:tr w:rsidR="001D0169" w14:paraId="4E0B1C7B" w14:textId="77777777" w:rsidTr="001D01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145AEB" w14:textId="77777777" w:rsidR="001D0169" w:rsidRDefault="001D0169">
            <w:pPr>
              <w:spacing w:line="240" w:lineRule="atLeast"/>
              <w:jc w:val="center"/>
              <w:rPr>
                <w:rFonts w:ascii="inherit" w:hAnsi="inherit" w:cs="Arial"/>
                <w:sz w:val="16"/>
                <w:szCs w:val="16"/>
              </w:rPr>
            </w:pPr>
            <w:r>
              <w:rPr>
                <w:rFonts w:ascii="inherit" w:hAnsi="inherit" w:cs="Arial"/>
                <w:sz w:val="16"/>
                <w:szCs w:val="16"/>
              </w:rPr>
              <w:t>Jan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0B2E1" w14:textId="77777777" w:rsidR="001D0169" w:rsidRDefault="001D0169">
            <w:pPr>
              <w:spacing w:line="240" w:lineRule="atLeast"/>
              <w:jc w:val="center"/>
              <w:rPr>
                <w:rFonts w:ascii="inherit" w:hAnsi="inherit" w:cs="Arial"/>
                <w:sz w:val="16"/>
                <w:szCs w:val="16"/>
              </w:rPr>
            </w:pPr>
            <w:r>
              <w:rPr>
                <w:rFonts w:ascii="inherit" w:hAnsi="inherit" w:cs="Arial"/>
                <w:sz w:val="16"/>
                <w:szCs w:val="16"/>
              </w:rPr>
              <w:t>117</w:t>
            </w:r>
          </w:p>
        </w:tc>
      </w:tr>
      <w:tr w:rsidR="001D0169" w14:paraId="55370157" w14:textId="77777777" w:rsidTr="001D01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0841C" w14:textId="77777777" w:rsidR="001D0169" w:rsidRDefault="001D0169">
            <w:pPr>
              <w:spacing w:line="240" w:lineRule="atLeast"/>
              <w:jc w:val="center"/>
              <w:rPr>
                <w:rFonts w:ascii="inherit" w:hAnsi="inherit" w:cs="Arial"/>
                <w:sz w:val="16"/>
                <w:szCs w:val="16"/>
              </w:rPr>
            </w:pPr>
            <w:r>
              <w:rPr>
                <w:rFonts w:ascii="inherit" w:hAnsi="inherit" w:cs="Arial"/>
                <w:sz w:val="16"/>
                <w:szCs w:val="16"/>
              </w:rPr>
              <w:t>Feb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3F3F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8EF73" w14:textId="77777777" w:rsidR="001D0169" w:rsidRDefault="001D0169">
            <w:pPr>
              <w:spacing w:line="240" w:lineRule="atLeast"/>
              <w:jc w:val="center"/>
              <w:rPr>
                <w:rFonts w:ascii="inherit" w:hAnsi="inherit" w:cs="Arial"/>
                <w:sz w:val="16"/>
                <w:szCs w:val="16"/>
              </w:rPr>
            </w:pPr>
            <w:r>
              <w:rPr>
                <w:rFonts w:ascii="inherit" w:hAnsi="inherit" w:cs="Arial"/>
                <w:sz w:val="16"/>
                <w:szCs w:val="16"/>
              </w:rPr>
              <w:t>2294</w:t>
            </w:r>
          </w:p>
        </w:tc>
      </w:tr>
      <w:tr w:rsidR="001D0169" w14:paraId="36DB037E" w14:textId="77777777" w:rsidTr="001D0169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B5C78" w14:textId="77777777" w:rsidR="001D0169" w:rsidRDefault="001D0169">
            <w:pPr>
              <w:spacing w:line="240" w:lineRule="atLeast"/>
              <w:jc w:val="center"/>
              <w:rPr>
                <w:rFonts w:ascii="inherit" w:hAnsi="inherit" w:cs="Arial"/>
                <w:sz w:val="16"/>
                <w:szCs w:val="16"/>
              </w:rPr>
            </w:pPr>
            <w:r>
              <w:rPr>
                <w:rFonts w:ascii="inherit" w:hAnsi="inherit" w:cs="Arial"/>
                <w:sz w:val="16"/>
                <w:szCs w:val="16"/>
              </w:rPr>
              <w:t>Mar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E0E0E0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5736B9" w14:textId="77777777" w:rsidR="001D0169" w:rsidRDefault="001D0169">
            <w:pPr>
              <w:spacing w:line="240" w:lineRule="atLeast"/>
              <w:jc w:val="center"/>
              <w:rPr>
                <w:rFonts w:ascii="inherit" w:hAnsi="inherit" w:cs="Arial"/>
                <w:sz w:val="16"/>
                <w:szCs w:val="16"/>
              </w:rPr>
            </w:pPr>
            <w:r>
              <w:rPr>
                <w:rFonts w:ascii="inherit" w:hAnsi="inherit" w:cs="Arial"/>
                <w:sz w:val="16"/>
                <w:szCs w:val="16"/>
              </w:rPr>
              <w:t>1674</w:t>
            </w:r>
          </w:p>
        </w:tc>
      </w:tr>
    </w:tbl>
    <w:p w14:paraId="06CCF3E6" w14:textId="28791C8A" w:rsidR="00A407E4" w:rsidRDefault="00A407E4" w:rsidP="5A6DFA85">
      <w:pPr>
        <w:spacing w:after="0"/>
      </w:pPr>
    </w:p>
    <w:p w14:paraId="3FBE464D" w14:textId="77777777" w:rsidR="001D0169" w:rsidRDefault="001D0169" w:rsidP="001D0169">
      <w:pPr>
        <w:spacing w:after="0"/>
        <w:ind w:left="360"/>
      </w:pPr>
    </w:p>
    <w:p w14:paraId="06C453D3" w14:textId="763E5A03" w:rsidR="00A407E4" w:rsidRDefault="440D9BFC" w:rsidP="001D0169">
      <w:pPr>
        <w:pStyle w:val="ListParagraph"/>
        <w:numPr>
          <w:ilvl w:val="0"/>
          <w:numId w:val="2"/>
        </w:numPr>
        <w:spacing w:before="240" w:after="0"/>
      </w:pPr>
      <w:r>
        <w:lastRenderedPageBreak/>
        <w:t>Use the referral pathway on EMIS – Local enhanced services button for all referrals for minor conditions and those patients who may be eligible for clinical pathway common condition.</w:t>
      </w:r>
    </w:p>
    <w:p w14:paraId="2C859351" w14:textId="2FE7701E" w:rsidR="00A407E4" w:rsidRDefault="440D9BFC" w:rsidP="5A6DFA85">
      <w:pPr>
        <w:pStyle w:val="ListParagraph"/>
        <w:numPr>
          <w:ilvl w:val="0"/>
          <w:numId w:val="2"/>
        </w:numPr>
        <w:spacing w:after="0"/>
      </w:pPr>
      <w:proofErr w:type="spellStart"/>
      <w:r>
        <w:t>Ocute</w:t>
      </w:r>
      <w:proofErr w:type="spellEnd"/>
      <w:r>
        <w:t xml:space="preserve"> Otitis, Sinusitis, Infected Bites and Stings, Sore Throats, Uncomplicated UTI Impetigo</w:t>
      </w:r>
      <w:r w:rsidR="3AF0CFFB">
        <w:t xml:space="preserve"> and Shingles.</w:t>
      </w:r>
    </w:p>
    <w:p w14:paraId="7BEE2EA4" w14:textId="1039080D" w:rsidR="00A407E4" w:rsidRDefault="3AF0CFFB" w:rsidP="5A6DFA85">
      <w:pPr>
        <w:pStyle w:val="ListParagraph"/>
        <w:numPr>
          <w:ilvl w:val="0"/>
          <w:numId w:val="2"/>
        </w:numPr>
        <w:spacing w:after="0"/>
      </w:pPr>
      <w:r>
        <w:t>The assessment tool is av</w:t>
      </w:r>
      <w:r w:rsidR="58E827C5">
        <w:t>ailable</w:t>
      </w:r>
      <w:r>
        <w:t xml:space="preserve"> on the local enhanced service button for surgery staff to talk through with pati</w:t>
      </w:r>
      <w:r w:rsidR="0CF28550">
        <w:t>en</w:t>
      </w:r>
      <w:r>
        <w:t>ts to assess if Pharmacy can consult them.</w:t>
      </w:r>
    </w:p>
    <w:p w14:paraId="20085EBF" w14:textId="69DAEFA1" w:rsidR="00A407E4" w:rsidRDefault="6B97B8CF" w:rsidP="5A6DFA85">
      <w:pPr>
        <w:spacing w:after="0"/>
      </w:pPr>
      <w:r>
        <w:t xml:space="preserve">Most common reasons for dropped/rejected referrals </w:t>
      </w:r>
      <w:proofErr w:type="gramStart"/>
      <w:r>
        <w:t>are</w:t>
      </w:r>
      <w:proofErr w:type="gramEnd"/>
    </w:p>
    <w:p w14:paraId="221E01F2" w14:textId="3EE1A557" w:rsidR="00A407E4" w:rsidRDefault="6B97B8CF" w:rsidP="5A6DFA85">
      <w:pPr>
        <w:pStyle w:val="ListParagraph"/>
        <w:numPr>
          <w:ilvl w:val="0"/>
          <w:numId w:val="1"/>
        </w:numPr>
        <w:spacing w:after="0"/>
      </w:pPr>
      <w:r>
        <w:t xml:space="preserve">Patients not being contactable either through patient choice or potential wrong contact details- </w:t>
      </w:r>
      <w:r w:rsidR="001D0169">
        <w:t>Ensure all staff check</w:t>
      </w:r>
      <w:r>
        <w:t xml:space="preserve"> contact details for patients at point of referral.</w:t>
      </w:r>
    </w:p>
    <w:p w14:paraId="0A0B450B" w14:textId="76207ED4" w:rsidR="001D0169" w:rsidRDefault="001D0169" w:rsidP="5A6DFA85">
      <w:pPr>
        <w:pStyle w:val="ListParagraph"/>
        <w:numPr>
          <w:ilvl w:val="0"/>
          <w:numId w:val="1"/>
        </w:numPr>
        <w:spacing w:after="0"/>
      </w:pPr>
      <w:r>
        <w:t>Duplicate referrals being sent in error</w:t>
      </w:r>
    </w:p>
    <w:p w14:paraId="29746D47" w14:textId="18106805" w:rsidR="00A407E4" w:rsidRDefault="6B97B8CF" w:rsidP="5A6DFA85">
      <w:pPr>
        <w:pStyle w:val="ListParagraph"/>
        <w:numPr>
          <w:ilvl w:val="0"/>
          <w:numId w:val="1"/>
        </w:numPr>
        <w:spacing w:after="0"/>
      </w:pPr>
      <w:r>
        <w:t>Pharmacies not having Otoscope in pharmacy yet – A little backlog on delivery but hoping to be resolved soon.</w:t>
      </w:r>
    </w:p>
    <w:p w14:paraId="712DD340" w14:textId="3F73DA4B" w:rsidR="00A407E4" w:rsidRDefault="6B97B8CF" w:rsidP="5A6DFA85">
      <w:pPr>
        <w:pStyle w:val="ListParagraph"/>
        <w:numPr>
          <w:ilvl w:val="0"/>
          <w:numId w:val="1"/>
        </w:numPr>
        <w:spacing w:after="0"/>
      </w:pPr>
      <w:r>
        <w:t xml:space="preserve">Surgeries </w:t>
      </w:r>
      <w:r w:rsidR="001D0169">
        <w:t xml:space="preserve">refer </w:t>
      </w:r>
      <w:r>
        <w:t>patients who are outside scope of service spec mainly UTIS for over 64s and adults presenting with earache.</w:t>
      </w:r>
    </w:p>
    <w:p w14:paraId="08651CB2" w14:textId="7B133F0F" w:rsidR="00A407E4" w:rsidRDefault="6B97B8CF" w:rsidP="5A6DFA85">
      <w:pPr>
        <w:pStyle w:val="ListParagraph"/>
        <w:numPr>
          <w:ilvl w:val="0"/>
          <w:numId w:val="1"/>
        </w:numPr>
        <w:spacing w:after="0"/>
      </w:pPr>
      <w:r>
        <w:t xml:space="preserve">Pharmacies </w:t>
      </w:r>
      <w:r w:rsidR="001D0169">
        <w:t>mis recording outcomes</w:t>
      </w:r>
      <w:r>
        <w:t xml:space="preserve"> and rejecting referral even though advice/OTC product been given.</w:t>
      </w:r>
    </w:p>
    <w:p w14:paraId="70D3818A" w14:textId="51A7F4C7" w:rsidR="00A407E4" w:rsidRDefault="00A407E4" w:rsidP="5A6DFA85">
      <w:pPr>
        <w:spacing w:after="0"/>
      </w:pPr>
    </w:p>
    <w:p w14:paraId="4FDD2773" w14:textId="04446418" w:rsidR="00A407E4" w:rsidRDefault="6B97B8CF" w:rsidP="5A6DFA85">
      <w:pPr>
        <w:spacing w:after="0"/>
      </w:pPr>
      <w:r>
        <w:t xml:space="preserve">Yvonne at Community Pharmacy Somerset is capturing a learning document and will be sharing with all Pharmacies on improving and recording outcomes </w:t>
      </w:r>
      <w:r w:rsidR="00D000BE">
        <w:t>accurately</w:t>
      </w:r>
      <w:r>
        <w:t>.</w:t>
      </w:r>
    </w:p>
    <w:p w14:paraId="54D09B5A" w14:textId="74466886" w:rsidR="00A407E4" w:rsidRDefault="6B97B8CF" w:rsidP="5A6DFA85">
      <w:pPr>
        <w:spacing w:after="0"/>
      </w:pPr>
      <w:r>
        <w:t xml:space="preserve">Yvonne is available to look at specific surgery data upon request to establish learning opportunities with surgeries if they want it. Contact </w:t>
      </w:r>
      <w:hyperlink r:id="rId5">
        <w:r w:rsidRPr="5A6DFA85">
          <w:rPr>
            <w:rStyle w:val="Hyperlink"/>
          </w:rPr>
          <w:t>Yvonne.somersetlpc@gmail.com</w:t>
        </w:r>
      </w:hyperlink>
      <w:r>
        <w:t xml:space="preserve"> to arrange.</w:t>
      </w:r>
    </w:p>
    <w:p w14:paraId="2C078E63" w14:textId="3011510B" w:rsidR="00A407E4" w:rsidRDefault="00A407E4" w:rsidP="5A6DFA85"/>
    <w:sectPr w:rsidR="00A4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7F45A"/>
    <w:multiLevelType w:val="hybridMultilevel"/>
    <w:tmpl w:val="18A037D2"/>
    <w:lvl w:ilvl="0" w:tplc="EFFE7F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E78A27A6">
      <w:start w:val="1"/>
      <w:numFmt w:val="lowerLetter"/>
      <w:lvlText w:val="%2."/>
      <w:lvlJc w:val="left"/>
      <w:pPr>
        <w:ind w:left="1440" w:hanging="360"/>
      </w:pPr>
    </w:lvl>
    <w:lvl w:ilvl="2" w:tplc="8F5C373E">
      <w:start w:val="1"/>
      <w:numFmt w:val="lowerRoman"/>
      <w:lvlText w:val="%3."/>
      <w:lvlJc w:val="right"/>
      <w:pPr>
        <w:ind w:left="2160" w:hanging="180"/>
      </w:pPr>
    </w:lvl>
    <w:lvl w:ilvl="3" w:tplc="CEE84430">
      <w:start w:val="1"/>
      <w:numFmt w:val="decimal"/>
      <w:lvlText w:val="%4."/>
      <w:lvlJc w:val="left"/>
      <w:pPr>
        <w:ind w:left="2880" w:hanging="360"/>
      </w:pPr>
    </w:lvl>
    <w:lvl w:ilvl="4" w:tplc="4D3A020C">
      <w:start w:val="1"/>
      <w:numFmt w:val="lowerLetter"/>
      <w:lvlText w:val="%5."/>
      <w:lvlJc w:val="left"/>
      <w:pPr>
        <w:ind w:left="3600" w:hanging="360"/>
      </w:pPr>
    </w:lvl>
    <w:lvl w:ilvl="5" w:tplc="BE0AF812">
      <w:start w:val="1"/>
      <w:numFmt w:val="lowerRoman"/>
      <w:lvlText w:val="%6."/>
      <w:lvlJc w:val="right"/>
      <w:pPr>
        <w:ind w:left="4320" w:hanging="180"/>
      </w:pPr>
    </w:lvl>
    <w:lvl w:ilvl="6" w:tplc="8EE6B478">
      <w:start w:val="1"/>
      <w:numFmt w:val="decimal"/>
      <w:lvlText w:val="%7."/>
      <w:lvlJc w:val="left"/>
      <w:pPr>
        <w:ind w:left="5040" w:hanging="360"/>
      </w:pPr>
    </w:lvl>
    <w:lvl w:ilvl="7" w:tplc="F9860C18">
      <w:start w:val="1"/>
      <w:numFmt w:val="lowerLetter"/>
      <w:lvlText w:val="%8."/>
      <w:lvlJc w:val="left"/>
      <w:pPr>
        <w:ind w:left="5760" w:hanging="360"/>
      </w:pPr>
    </w:lvl>
    <w:lvl w:ilvl="8" w:tplc="64962E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0DCF"/>
    <w:multiLevelType w:val="hybridMultilevel"/>
    <w:tmpl w:val="9AC89802"/>
    <w:lvl w:ilvl="0" w:tplc="05DADEFC">
      <w:start w:val="1"/>
      <w:numFmt w:val="decimal"/>
      <w:lvlText w:val="%1)"/>
      <w:lvlJc w:val="left"/>
      <w:pPr>
        <w:ind w:left="720" w:hanging="360"/>
      </w:pPr>
    </w:lvl>
    <w:lvl w:ilvl="1" w:tplc="25DCE41A">
      <w:start w:val="1"/>
      <w:numFmt w:val="lowerLetter"/>
      <w:lvlText w:val="%2."/>
      <w:lvlJc w:val="left"/>
      <w:pPr>
        <w:ind w:left="1440" w:hanging="360"/>
      </w:pPr>
    </w:lvl>
    <w:lvl w:ilvl="2" w:tplc="34A0656A">
      <w:start w:val="1"/>
      <w:numFmt w:val="lowerRoman"/>
      <w:lvlText w:val="%3."/>
      <w:lvlJc w:val="right"/>
      <w:pPr>
        <w:ind w:left="2160" w:hanging="180"/>
      </w:pPr>
    </w:lvl>
    <w:lvl w:ilvl="3" w:tplc="E9200F1A">
      <w:start w:val="1"/>
      <w:numFmt w:val="decimal"/>
      <w:lvlText w:val="%4."/>
      <w:lvlJc w:val="left"/>
      <w:pPr>
        <w:ind w:left="2880" w:hanging="360"/>
      </w:pPr>
    </w:lvl>
    <w:lvl w:ilvl="4" w:tplc="9FCA727A">
      <w:start w:val="1"/>
      <w:numFmt w:val="lowerLetter"/>
      <w:lvlText w:val="%5."/>
      <w:lvlJc w:val="left"/>
      <w:pPr>
        <w:ind w:left="3600" w:hanging="360"/>
      </w:pPr>
    </w:lvl>
    <w:lvl w:ilvl="5" w:tplc="557A8884">
      <w:start w:val="1"/>
      <w:numFmt w:val="lowerRoman"/>
      <w:lvlText w:val="%6."/>
      <w:lvlJc w:val="right"/>
      <w:pPr>
        <w:ind w:left="4320" w:hanging="180"/>
      </w:pPr>
    </w:lvl>
    <w:lvl w:ilvl="6" w:tplc="DAA43F2C">
      <w:start w:val="1"/>
      <w:numFmt w:val="decimal"/>
      <w:lvlText w:val="%7."/>
      <w:lvlJc w:val="left"/>
      <w:pPr>
        <w:ind w:left="5040" w:hanging="360"/>
      </w:pPr>
    </w:lvl>
    <w:lvl w:ilvl="7" w:tplc="EFB6D20C">
      <w:start w:val="1"/>
      <w:numFmt w:val="lowerLetter"/>
      <w:lvlText w:val="%8."/>
      <w:lvlJc w:val="left"/>
      <w:pPr>
        <w:ind w:left="5760" w:hanging="360"/>
      </w:pPr>
    </w:lvl>
    <w:lvl w:ilvl="8" w:tplc="C688F6A4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03399">
    <w:abstractNumId w:val="1"/>
  </w:num>
  <w:num w:numId="2" w16cid:durableId="156803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630C14"/>
    <w:rsid w:val="00001C41"/>
    <w:rsid w:val="001D0169"/>
    <w:rsid w:val="00A407E4"/>
    <w:rsid w:val="00D000BE"/>
    <w:rsid w:val="039EA698"/>
    <w:rsid w:val="06BD1EFD"/>
    <w:rsid w:val="0B909020"/>
    <w:rsid w:val="0CF28550"/>
    <w:rsid w:val="0ED01E68"/>
    <w:rsid w:val="11FFD1A4"/>
    <w:rsid w:val="139BA205"/>
    <w:rsid w:val="1949ADBE"/>
    <w:rsid w:val="1AE57E1F"/>
    <w:rsid w:val="22F09004"/>
    <w:rsid w:val="255583B6"/>
    <w:rsid w:val="262830C6"/>
    <w:rsid w:val="2B038F6F"/>
    <w:rsid w:val="2B630C14"/>
    <w:rsid w:val="3172D0F3"/>
    <w:rsid w:val="330EA154"/>
    <w:rsid w:val="36464216"/>
    <w:rsid w:val="3AF0CFFB"/>
    <w:rsid w:val="3DA70598"/>
    <w:rsid w:val="438969DA"/>
    <w:rsid w:val="440D9BFC"/>
    <w:rsid w:val="58E827C5"/>
    <w:rsid w:val="5A6DFA85"/>
    <w:rsid w:val="6B97B8CF"/>
    <w:rsid w:val="7050E20B"/>
    <w:rsid w:val="72B925C0"/>
    <w:rsid w:val="7EB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0C14"/>
  <w15:chartTrackingRefBased/>
  <w15:docId w15:val="{5DDCAAA6-A036-42B9-A91B-1BB89EF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500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vonne.somersetl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4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Lamb</dc:creator>
  <cp:keywords/>
  <dc:description/>
  <cp:lastModifiedBy>Johns Sarah (Somerset Local Medical Committee)</cp:lastModifiedBy>
  <cp:revision>2</cp:revision>
  <dcterms:created xsi:type="dcterms:W3CDTF">2024-03-21T11:18:00Z</dcterms:created>
  <dcterms:modified xsi:type="dcterms:W3CDTF">2024-03-21T11:18:00Z</dcterms:modified>
</cp:coreProperties>
</file>