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D4B79" w14:textId="5CD1FFC2" w:rsidR="00733D13" w:rsidRPr="00EB3C1C" w:rsidRDefault="00453057" w:rsidP="00EB3C1C">
      <w:pPr>
        <w:jc w:val="both"/>
        <w:rPr>
          <w:b/>
          <w:bCs/>
        </w:rPr>
      </w:pPr>
      <w:bookmarkStart w:id="0" w:name="_GoBack"/>
      <w:bookmarkEnd w:id="0"/>
      <w:r w:rsidRPr="00EB3C1C">
        <w:rPr>
          <w:b/>
          <w:bCs/>
        </w:rPr>
        <w:t>New Look 2 WW Gynaecology Referral Form</w:t>
      </w:r>
      <w:r w:rsidR="008F6564" w:rsidRPr="00EB3C1C">
        <w:rPr>
          <w:b/>
          <w:bCs/>
        </w:rPr>
        <w:t xml:space="preserve"> – Cancer Exclusion Service</w:t>
      </w:r>
    </w:p>
    <w:p w14:paraId="71DB99BF" w14:textId="54126370" w:rsidR="008F6564" w:rsidRDefault="00453057" w:rsidP="00EB3C1C">
      <w:pPr>
        <w:jc w:val="both"/>
      </w:pPr>
      <w:r>
        <w:t>In recent months there has been a</w:t>
      </w:r>
      <w:r w:rsidR="003332C1">
        <w:t xml:space="preserve"> significant</w:t>
      </w:r>
      <w:r>
        <w:t xml:space="preserve"> upsurge in the number of women being referred onto the 2 WW Gynaecology pathway with post</w:t>
      </w:r>
      <w:r w:rsidR="006412E4">
        <w:t>-</w:t>
      </w:r>
      <w:r>
        <w:t>menopausal bleeding who are still on HRT</w:t>
      </w:r>
      <w:r w:rsidR="008F6564">
        <w:t xml:space="preserve">.  </w:t>
      </w:r>
    </w:p>
    <w:p w14:paraId="70979A64" w14:textId="3C9F1FAE" w:rsidR="003332C1" w:rsidRDefault="003332C1" w:rsidP="003332C1">
      <w:pPr>
        <w:jc w:val="both"/>
      </w:pPr>
      <w:r>
        <w:t>There has also been a large number of women who have been referred without being examined, have not had bloods taken or the results of a pelvic USS reviewed and attached to the 2 WW referral</w:t>
      </w:r>
      <w:r w:rsidR="00D71CE4">
        <w:t xml:space="preserve"> form</w:t>
      </w:r>
      <w:r>
        <w:t>.</w:t>
      </w:r>
    </w:p>
    <w:p w14:paraId="030AD090" w14:textId="44941E26" w:rsidR="003332C1" w:rsidRDefault="003332C1" w:rsidP="003332C1">
      <w:pPr>
        <w:jc w:val="both"/>
      </w:pPr>
      <w:r>
        <w:t xml:space="preserve">Our aim is to help all those referring under the 2WW pathway to provide the relevant necessary information to streamline the care of patients being referred. This is a gentle reminder </w:t>
      </w:r>
      <w:r w:rsidR="00AD7745">
        <w:t xml:space="preserve">and </w:t>
      </w:r>
      <w:r>
        <w:t xml:space="preserve">we ask </w:t>
      </w:r>
      <w:r w:rsidR="00AD7745">
        <w:t>you to</w:t>
      </w:r>
      <w:r>
        <w:t>:</w:t>
      </w:r>
    </w:p>
    <w:p w14:paraId="6D8A1FC4" w14:textId="6D39EBDD" w:rsidR="005F77BF" w:rsidRDefault="00453057" w:rsidP="00EB3C1C">
      <w:pPr>
        <w:pStyle w:val="ListParagraph"/>
        <w:numPr>
          <w:ilvl w:val="0"/>
          <w:numId w:val="1"/>
        </w:numPr>
        <w:jc w:val="both"/>
      </w:pPr>
      <w:r w:rsidRPr="00D71CE4">
        <w:rPr>
          <w:b/>
          <w:bCs/>
          <w:u w:val="single"/>
        </w:rPr>
        <w:t>Examine the patient</w:t>
      </w:r>
      <w:r>
        <w:t>.   Inspection and bimanual examination to look for causes of the bleeding</w:t>
      </w:r>
      <w:r w:rsidR="00A258BA">
        <w:t xml:space="preserve">, including taking a smear </w:t>
      </w:r>
      <w:r w:rsidR="00A258BA" w:rsidRPr="00537D6D">
        <w:rPr>
          <w:b/>
          <w:bCs/>
          <w:i/>
          <w:iCs/>
        </w:rPr>
        <w:t xml:space="preserve">if it is </w:t>
      </w:r>
      <w:r w:rsidR="002D42A8" w:rsidRPr="00537D6D">
        <w:rPr>
          <w:b/>
          <w:bCs/>
          <w:i/>
          <w:iCs/>
        </w:rPr>
        <w:t>due/</w:t>
      </w:r>
      <w:r w:rsidR="00A258BA" w:rsidRPr="00537D6D">
        <w:rPr>
          <w:b/>
          <w:bCs/>
          <w:i/>
          <w:iCs/>
        </w:rPr>
        <w:t>overdue</w:t>
      </w:r>
      <w:r>
        <w:t xml:space="preserve">.   During </w:t>
      </w:r>
      <w:r w:rsidR="00A258BA">
        <w:t>C</w:t>
      </w:r>
      <w:r>
        <w:t xml:space="preserve">ovid the absolute requirement for examination was wavered </w:t>
      </w:r>
      <w:r w:rsidR="00A258BA">
        <w:t>by secondary care</w:t>
      </w:r>
      <w:r w:rsidR="002D42A8">
        <w:t>,</w:t>
      </w:r>
      <w:r w:rsidR="00A258BA">
        <w:t xml:space="preserve"> </w:t>
      </w:r>
      <w:r>
        <w:t xml:space="preserve">but as we have returned to seeing patients </w:t>
      </w:r>
      <w:r w:rsidR="008F6564">
        <w:t xml:space="preserve">in primary care </w:t>
      </w:r>
      <w:r>
        <w:t xml:space="preserve">this </w:t>
      </w:r>
      <w:r w:rsidR="00EB3C1C">
        <w:t xml:space="preserve">must be done </w:t>
      </w:r>
      <w:r w:rsidR="00EB3C1C" w:rsidRPr="00D51A99">
        <w:rPr>
          <w:b/>
          <w:bCs/>
          <w:i/>
          <w:iCs/>
        </w:rPr>
        <w:t>before</w:t>
      </w:r>
      <w:r w:rsidR="00EB3C1C">
        <w:t xml:space="preserve"> referring the patient.  Examination will help determine </w:t>
      </w:r>
      <w:r>
        <w:t xml:space="preserve">which Gynae </w:t>
      </w:r>
      <w:r w:rsidR="00EB3C1C">
        <w:t xml:space="preserve">2 WW </w:t>
      </w:r>
      <w:r>
        <w:t>pathway to refer the patient</w:t>
      </w:r>
      <w:r w:rsidR="005F77BF">
        <w:t xml:space="preserve"> on</w:t>
      </w:r>
      <w:r w:rsidR="00125C83">
        <w:t>to</w:t>
      </w:r>
      <w:r w:rsidR="005F77BF">
        <w:t xml:space="preserve"> if they have</w:t>
      </w:r>
      <w:r>
        <w:t xml:space="preserve"> </w:t>
      </w:r>
      <w:r w:rsidR="00A258BA">
        <w:t>symptoms/</w:t>
      </w:r>
      <w:r>
        <w:t>PMB/PCB</w:t>
      </w:r>
      <w:r w:rsidR="005F77BF">
        <w:t>.</w:t>
      </w:r>
    </w:p>
    <w:p w14:paraId="5DAE5003" w14:textId="77777777" w:rsidR="005F77BF" w:rsidRDefault="005F77BF" w:rsidP="005F77BF">
      <w:pPr>
        <w:pStyle w:val="ListParagraph"/>
        <w:jc w:val="both"/>
      </w:pPr>
    </w:p>
    <w:p w14:paraId="1B8AAD24" w14:textId="29DEFC07" w:rsidR="005F77BF" w:rsidRDefault="005F77BF" w:rsidP="005F77BF">
      <w:pPr>
        <w:pStyle w:val="ListParagraph"/>
        <w:jc w:val="both"/>
      </w:pPr>
      <w:r>
        <w:t>I</w:t>
      </w:r>
      <w:r w:rsidR="00453057">
        <w:t>f there is a cervical lesion the patient should be referred to colposcopy</w:t>
      </w:r>
      <w:r w:rsidR="00122F07">
        <w:t xml:space="preserve"> via the 2 WW form.</w:t>
      </w:r>
      <w:r w:rsidR="00453057">
        <w:t xml:space="preserve"> </w:t>
      </w:r>
    </w:p>
    <w:p w14:paraId="3616184B" w14:textId="77777777" w:rsidR="005F77BF" w:rsidRDefault="005F77BF" w:rsidP="005F77BF">
      <w:pPr>
        <w:pStyle w:val="ListParagraph"/>
        <w:jc w:val="both"/>
      </w:pPr>
    </w:p>
    <w:p w14:paraId="0FA88939" w14:textId="37ABDDAF" w:rsidR="005F77BF" w:rsidRDefault="005F77BF" w:rsidP="005F77BF">
      <w:pPr>
        <w:pStyle w:val="ListParagraph"/>
        <w:jc w:val="both"/>
      </w:pPr>
      <w:r>
        <w:t>I</w:t>
      </w:r>
      <w:r w:rsidR="00453057">
        <w:t>f a vulval or vaginal lesion</w:t>
      </w:r>
      <w:r>
        <w:t xml:space="preserve"> is present then th</w:t>
      </w:r>
      <w:r w:rsidR="00453057">
        <w:t xml:space="preserve">ose pathways </w:t>
      </w:r>
      <w:r w:rsidR="008F6564">
        <w:t xml:space="preserve">should be chosen </w:t>
      </w:r>
      <w:r w:rsidR="00122F07">
        <w:t>on</w:t>
      </w:r>
      <w:r w:rsidR="00453057">
        <w:t xml:space="preserve"> the 2 WW form.  </w:t>
      </w:r>
    </w:p>
    <w:p w14:paraId="0A637DA3" w14:textId="77777777" w:rsidR="005F77BF" w:rsidRDefault="005F77BF" w:rsidP="005F77BF">
      <w:pPr>
        <w:pStyle w:val="ListParagraph"/>
        <w:jc w:val="both"/>
      </w:pPr>
    </w:p>
    <w:p w14:paraId="59E69B05" w14:textId="178C644A" w:rsidR="00453057" w:rsidRDefault="002D42A8" w:rsidP="005F77BF">
      <w:pPr>
        <w:pStyle w:val="ListParagraph"/>
        <w:jc w:val="both"/>
      </w:pPr>
      <w:r>
        <w:t xml:space="preserve">Without </w:t>
      </w:r>
      <w:r w:rsidR="005F77BF">
        <w:t xml:space="preserve">examination in primary care the incorrect 2WW Gynaecology pathway may be chosen causing the patient to </w:t>
      </w:r>
      <w:r>
        <w:t xml:space="preserve">have unnecessary investigations </w:t>
      </w:r>
      <w:r w:rsidR="00D91960">
        <w:t>which</w:t>
      </w:r>
      <w:r w:rsidR="005F77BF">
        <w:t xml:space="preserve"> can lead to a </w:t>
      </w:r>
      <w:r>
        <w:t xml:space="preserve">significant delay in </w:t>
      </w:r>
      <w:r w:rsidR="005F77BF">
        <w:t xml:space="preserve">getting a </w:t>
      </w:r>
      <w:r>
        <w:t>diagnosis</w:t>
      </w:r>
      <w:r w:rsidR="005F77BF">
        <w:t xml:space="preserve"> in secondary care if there is an underlying cancer present.</w:t>
      </w:r>
      <w:r>
        <w:t xml:space="preserve">  </w:t>
      </w:r>
      <w:r w:rsidR="008F6564">
        <w:t>T</w:t>
      </w:r>
      <w:r w:rsidR="00453057">
        <w:t xml:space="preserve">he bloods and pelvic ultrasound will </w:t>
      </w:r>
      <w:r w:rsidR="008F6564">
        <w:t xml:space="preserve">also </w:t>
      </w:r>
      <w:r w:rsidR="00453057">
        <w:t xml:space="preserve">guide </w:t>
      </w:r>
      <w:r w:rsidR="005F77BF">
        <w:t>w</w:t>
      </w:r>
      <w:r w:rsidR="00453057">
        <w:t xml:space="preserve">hich </w:t>
      </w:r>
      <w:r w:rsidR="005F77BF">
        <w:t xml:space="preserve">2 WW </w:t>
      </w:r>
      <w:r w:rsidR="00453057">
        <w:t>pathway to refer the patient</w:t>
      </w:r>
      <w:r w:rsidR="005F77BF">
        <w:t xml:space="preserve"> on</w:t>
      </w:r>
      <w:r w:rsidR="00D33728">
        <w:t xml:space="preserve"> t</w:t>
      </w:r>
      <w:r w:rsidR="005F77BF">
        <w:t>o</w:t>
      </w:r>
      <w:r>
        <w:t xml:space="preserve">, </w:t>
      </w:r>
      <w:r w:rsidR="00EB3C1C">
        <w:t>as an ovarian mass or thickened endometrium will mean different pathways are followed</w:t>
      </w:r>
      <w:r w:rsidR="005F77BF">
        <w:t>.</w:t>
      </w:r>
    </w:p>
    <w:p w14:paraId="68E4CF16" w14:textId="77777777" w:rsidR="00453057" w:rsidRDefault="00453057" w:rsidP="00EB3C1C">
      <w:pPr>
        <w:pStyle w:val="ListParagraph"/>
        <w:jc w:val="both"/>
      </w:pPr>
    </w:p>
    <w:p w14:paraId="108B5349" w14:textId="0F341870" w:rsidR="00453057" w:rsidRDefault="00BB3F5A" w:rsidP="00EB3C1C">
      <w:pPr>
        <w:pStyle w:val="ListParagraph"/>
        <w:numPr>
          <w:ilvl w:val="0"/>
          <w:numId w:val="1"/>
        </w:numPr>
        <w:jc w:val="both"/>
      </w:pPr>
      <w:r w:rsidRPr="00D71CE4">
        <w:rPr>
          <w:b/>
          <w:bCs/>
          <w:u w:val="single"/>
        </w:rPr>
        <w:t>Order and review the results of appropriate blood tests</w:t>
      </w:r>
      <w:r>
        <w:t xml:space="preserve">.  </w:t>
      </w:r>
      <w:r w:rsidR="000128DF">
        <w:t>These tests are listed on the 2WW referral form and s</w:t>
      </w:r>
      <w:r w:rsidR="00EB3C1C">
        <w:t>ince A</w:t>
      </w:r>
      <w:r w:rsidR="00453057">
        <w:t xml:space="preserve">ugust 2022 </w:t>
      </w:r>
      <w:proofErr w:type="spellStart"/>
      <w:r w:rsidR="00A258BA">
        <w:t>Ordercomms</w:t>
      </w:r>
      <w:proofErr w:type="spellEnd"/>
      <w:r w:rsidR="00A258BA">
        <w:t xml:space="preserve"> has specific tabs for the </w:t>
      </w:r>
      <w:r w:rsidR="00453057">
        <w:t xml:space="preserve">bloods </w:t>
      </w:r>
      <w:r w:rsidR="00A258BA">
        <w:t>which can be requested</w:t>
      </w:r>
      <w:r w:rsidR="00453057">
        <w:t xml:space="preserve"> </w:t>
      </w:r>
      <w:r w:rsidR="00EB3C1C">
        <w:t>at the click of a button.</w:t>
      </w:r>
    </w:p>
    <w:p w14:paraId="4A7F7238" w14:textId="77777777" w:rsidR="00453057" w:rsidRDefault="00453057" w:rsidP="00EB3C1C">
      <w:pPr>
        <w:pStyle w:val="ListParagraph"/>
        <w:jc w:val="both"/>
      </w:pPr>
    </w:p>
    <w:p w14:paraId="164DB5AC" w14:textId="728EA479" w:rsidR="00453057" w:rsidRDefault="00453057" w:rsidP="00EB3C1C">
      <w:pPr>
        <w:pStyle w:val="ListParagraph"/>
        <w:jc w:val="both"/>
      </w:pPr>
      <w:r>
        <w:rPr>
          <w:noProof/>
          <w:lang w:eastAsia="en-GB"/>
        </w:rPr>
        <w:drawing>
          <wp:inline distT="0" distB="0" distL="0" distR="0" wp14:anchorId="3E6C4959" wp14:editId="27152DE6">
            <wp:extent cx="1771650" cy="2438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71650" cy="2438400"/>
                    </a:xfrm>
                    <a:prstGeom prst="rect">
                      <a:avLst/>
                    </a:prstGeom>
                    <a:noFill/>
                    <a:ln>
                      <a:noFill/>
                    </a:ln>
                  </pic:spPr>
                </pic:pic>
              </a:graphicData>
            </a:graphic>
          </wp:inline>
        </w:drawing>
      </w:r>
    </w:p>
    <w:p w14:paraId="3E3F4D78" w14:textId="4641174C" w:rsidR="00A258BA" w:rsidRDefault="00453057" w:rsidP="00EB3C1C">
      <w:pPr>
        <w:ind w:left="360"/>
        <w:jc w:val="both"/>
        <w:rPr>
          <w:color w:val="1F497D"/>
        </w:rPr>
      </w:pPr>
      <w:r w:rsidRPr="00453057">
        <w:rPr>
          <w:color w:val="1F497D"/>
        </w:rPr>
        <w:t> </w:t>
      </w:r>
    </w:p>
    <w:p w14:paraId="45E03AEB" w14:textId="77777777" w:rsidR="00453057" w:rsidRDefault="00453057" w:rsidP="00EB3C1C">
      <w:pPr>
        <w:ind w:left="360"/>
        <w:jc w:val="both"/>
      </w:pPr>
    </w:p>
    <w:tbl>
      <w:tblPr>
        <w:tblW w:w="0" w:type="auto"/>
        <w:tblCellMar>
          <w:left w:w="0" w:type="dxa"/>
          <w:right w:w="0" w:type="dxa"/>
        </w:tblCellMar>
        <w:tblLook w:val="04A0" w:firstRow="1" w:lastRow="0" w:firstColumn="1" w:lastColumn="0" w:noHBand="0" w:noVBand="1"/>
      </w:tblPr>
      <w:tblGrid>
        <w:gridCol w:w="1750"/>
        <w:gridCol w:w="731"/>
        <w:gridCol w:w="6525"/>
      </w:tblGrid>
      <w:tr w:rsidR="00453057" w14:paraId="319C37AD" w14:textId="77777777" w:rsidTr="00453057">
        <w:trPr>
          <w:trHeight w:val="300"/>
        </w:trPr>
        <w:tc>
          <w:tcPr>
            <w:tcW w:w="2156" w:type="dxa"/>
            <w:tcBorders>
              <w:top w:val="single" w:sz="8" w:space="0" w:color="auto"/>
              <w:left w:val="single" w:sz="8" w:space="0" w:color="auto"/>
              <w:bottom w:val="single" w:sz="8" w:space="0" w:color="auto"/>
              <w:right w:val="single" w:sz="8" w:space="0" w:color="auto"/>
            </w:tcBorders>
            <w:shd w:val="clear" w:color="auto" w:fill="BDD6EE"/>
            <w:noWrap/>
            <w:tcMar>
              <w:top w:w="0" w:type="dxa"/>
              <w:left w:w="108" w:type="dxa"/>
              <w:bottom w:w="0" w:type="dxa"/>
              <w:right w:w="108" w:type="dxa"/>
            </w:tcMar>
            <w:hideMark/>
          </w:tcPr>
          <w:p w14:paraId="1D8BC119" w14:textId="77777777" w:rsidR="00453057" w:rsidRDefault="00453057" w:rsidP="00EB3C1C">
            <w:pPr>
              <w:jc w:val="both"/>
            </w:pPr>
            <w:r>
              <w:rPr>
                <w:b/>
                <w:bCs/>
                <w:color w:val="1F497D"/>
              </w:rPr>
              <w:lastRenderedPageBreak/>
              <w:t>Test group</w:t>
            </w:r>
          </w:p>
        </w:tc>
        <w:tc>
          <w:tcPr>
            <w:tcW w:w="813" w:type="dxa"/>
            <w:tcBorders>
              <w:top w:val="single" w:sz="8" w:space="0" w:color="auto"/>
              <w:left w:val="nil"/>
              <w:bottom w:val="single" w:sz="8" w:space="0" w:color="auto"/>
              <w:right w:val="single" w:sz="8" w:space="0" w:color="auto"/>
            </w:tcBorders>
            <w:shd w:val="clear" w:color="auto" w:fill="BDD6EE"/>
            <w:noWrap/>
            <w:tcMar>
              <w:top w:w="0" w:type="dxa"/>
              <w:left w:w="108" w:type="dxa"/>
              <w:bottom w:w="0" w:type="dxa"/>
              <w:right w:w="108" w:type="dxa"/>
            </w:tcMar>
            <w:hideMark/>
          </w:tcPr>
          <w:p w14:paraId="157BA105" w14:textId="77777777" w:rsidR="00453057" w:rsidRDefault="00453057" w:rsidP="00EB3C1C">
            <w:pPr>
              <w:jc w:val="both"/>
            </w:pPr>
            <w:r>
              <w:rPr>
                <w:b/>
                <w:bCs/>
                <w:color w:val="1F497D"/>
              </w:rPr>
              <w:t>Patient Sex</w:t>
            </w:r>
          </w:p>
        </w:tc>
        <w:tc>
          <w:tcPr>
            <w:tcW w:w="8199" w:type="dxa"/>
            <w:tcBorders>
              <w:top w:val="single" w:sz="8" w:space="0" w:color="auto"/>
              <w:left w:val="nil"/>
              <w:bottom w:val="single" w:sz="8" w:space="0" w:color="auto"/>
              <w:right w:val="single" w:sz="8" w:space="0" w:color="auto"/>
            </w:tcBorders>
            <w:shd w:val="clear" w:color="auto" w:fill="BDD6EE"/>
            <w:noWrap/>
            <w:tcMar>
              <w:top w:w="0" w:type="dxa"/>
              <w:left w:w="108" w:type="dxa"/>
              <w:bottom w:w="0" w:type="dxa"/>
              <w:right w:w="108" w:type="dxa"/>
            </w:tcMar>
            <w:hideMark/>
          </w:tcPr>
          <w:p w14:paraId="42DCF47D" w14:textId="77777777" w:rsidR="00453057" w:rsidRDefault="00453057" w:rsidP="00EB3C1C">
            <w:pPr>
              <w:jc w:val="both"/>
            </w:pPr>
            <w:r>
              <w:rPr>
                <w:b/>
                <w:bCs/>
                <w:color w:val="1F497D"/>
              </w:rPr>
              <w:t>Screenshot</w:t>
            </w:r>
          </w:p>
        </w:tc>
      </w:tr>
      <w:tr w:rsidR="00453057" w14:paraId="38B62133" w14:textId="77777777" w:rsidTr="00453057">
        <w:trPr>
          <w:trHeight w:val="2445"/>
        </w:trPr>
        <w:tc>
          <w:tcPr>
            <w:tcW w:w="2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10C0A3" w14:textId="77777777" w:rsidR="00453057" w:rsidRDefault="00453057" w:rsidP="00EB3C1C">
            <w:pPr>
              <w:jc w:val="both"/>
            </w:pPr>
            <w:r>
              <w:rPr>
                <w:color w:val="1F497D"/>
              </w:rPr>
              <w:t>Gynaecology 2WW (&lt;40 years old)</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14:paraId="0ABB106C" w14:textId="77777777" w:rsidR="00453057" w:rsidRDefault="00453057" w:rsidP="00EB3C1C">
            <w:pPr>
              <w:jc w:val="both"/>
            </w:pPr>
            <w:r>
              <w:rPr>
                <w:color w:val="1F497D"/>
              </w:rPr>
              <w:t>F</w:t>
            </w:r>
          </w:p>
        </w:tc>
        <w:tc>
          <w:tcPr>
            <w:tcW w:w="8199" w:type="dxa"/>
            <w:tcBorders>
              <w:top w:val="nil"/>
              <w:left w:val="nil"/>
              <w:bottom w:val="single" w:sz="8" w:space="0" w:color="auto"/>
              <w:right w:val="single" w:sz="8" w:space="0" w:color="auto"/>
            </w:tcBorders>
            <w:noWrap/>
            <w:tcMar>
              <w:top w:w="0" w:type="dxa"/>
              <w:left w:w="108" w:type="dxa"/>
              <w:bottom w:w="0" w:type="dxa"/>
              <w:right w:w="108" w:type="dxa"/>
            </w:tcMar>
            <w:hideMark/>
          </w:tcPr>
          <w:p w14:paraId="4571C598" w14:textId="6C2E9AA2" w:rsidR="00453057" w:rsidRDefault="00453057" w:rsidP="00EB3C1C">
            <w:pPr>
              <w:jc w:val="both"/>
            </w:pPr>
            <w:r>
              <w:rPr>
                <w:noProof/>
              </w:rPr>
              <w:drawing>
                <wp:inline distT="0" distB="0" distL="0" distR="0" wp14:anchorId="5B46BED6" wp14:editId="0CF69E96">
                  <wp:extent cx="3327400" cy="1377950"/>
                  <wp:effectExtent l="0" t="0" r="635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327400" cy="1377950"/>
                          </a:xfrm>
                          <a:prstGeom prst="rect">
                            <a:avLst/>
                          </a:prstGeom>
                          <a:noFill/>
                          <a:ln>
                            <a:noFill/>
                          </a:ln>
                        </pic:spPr>
                      </pic:pic>
                    </a:graphicData>
                  </a:graphic>
                </wp:inline>
              </w:drawing>
            </w:r>
          </w:p>
        </w:tc>
      </w:tr>
      <w:tr w:rsidR="00453057" w14:paraId="1939EBEC" w14:textId="77777777" w:rsidTr="00453057">
        <w:trPr>
          <w:trHeight w:val="2445"/>
        </w:trPr>
        <w:tc>
          <w:tcPr>
            <w:tcW w:w="2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247838" w14:textId="77777777" w:rsidR="00453057" w:rsidRDefault="00453057" w:rsidP="00EB3C1C">
            <w:pPr>
              <w:jc w:val="both"/>
            </w:pPr>
            <w:r>
              <w:rPr>
                <w:color w:val="1F497D"/>
              </w:rPr>
              <w:t>Gynaecology 2WW (≥40 years old)</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14:paraId="1824DC41" w14:textId="77777777" w:rsidR="00453057" w:rsidRDefault="00453057" w:rsidP="00EB3C1C">
            <w:pPr>
              <w:jc w:val="both"/>
            </w:pPr>
            <w:r>
              <w:rPr>
                <w:color w:val="1F497D"/>
              </w:rPr>
              <w:t>F</w:t>
            </w:r>
          </w:p>
        </w:tc>
        <w:tc>
          <w:tcPr>
            <w:tcW w:w="8199" w:type="dxa"/>
            <w:tcBorders>
              <w:top w:val="nil"/>
              <w:left w:val="nil"/>
              <w:bottom w:val="single" w:sz="8" w:space="0" w:color="auto"/>
              <w:right w:val="single" w:sz="8" w:space="0" w:color="auto"/>
            </w:tcBorders>
            <w:noWrap/>
            <w:tcMar>
              <w:top w:w="0" w:type="dxa"/>
              <w:left w:w="108" w:type="dxa"/>
              <w:bottom w:w="0" w:type="dxa"/>
              <w:right w:w="108" w:type="dxa"/>
            </w:tcMar>
            <w:hideMark/>
          </w:tcPr>
          <w:p w14:paraId="59227045" w14:textId="765EA1C5" w:rsidR="00453057" w:rsidRDefault="00453057" w:rsidP="00EB3C1C">
            <w:pPr>
              <w:jc w:val="both"/>
            </w:pPr>
            <w:r>
              <w:rPr>
                <w:noProof/>
              </w:rPr>
              <w:drawing>
                <wp:inline distT="0" distB="0" distL="0" distR="0" wp14:anchorId="4413F9F9" wp14:editId="70AB4AB9">
                  <wp:extent cx="3733800" cy="11684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733800" cy="1168400"/>
                          </a:xfrm>
                          <a:prstGeom prst="rect">
                            <a:avLst/>
                          </a:prstGeom>
                          <a:noFill/>
                          <a:ln>
                            <a:noFill/>
                          </a:ln>
                        </pic:spPr>
                      </pic:pic>
                    </a:graphicData>
                  </a:graphic>
                </wp:inline>
              </w:drawing>
            </w:r>
          </w:p>
        </w:tc>
      </w:tr>
      <w:tr w:rsidR="00453057" w14:paraId="216DEF59" w14:textId="77777777" w:rsidTr="00453057">
        <w:trPr>
          <w:trHeight w:val="2445"/>
        </w:trPr>
        <w:tc>
          <w:tcPr>
            <w:tcW w:w="2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1C82F1" w14:textId="77777777" w:rsidR="00453057" w:rsidRDefault="00453057" w:rsidP="00EB3C1C">
            <w:pPr>
              <w:jc w:val="both"/>
            </w:pPr>
            <w:r>
              <w:rPr>
                <w:color w:val="1F497D"/>
              </w:rPr>
              <w:t>Gynaecology 2WW (non-ovarian)</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14:paraId="06D838F6" w14:textId="77777777" w:rsidR="00453057" w:rsidRDefault="00453057" w:rsidP="00EB3C1C">
            <w:pPr>
              <w:jc w:val="both"/>
            </w:pPr>
            <w:r>
              <w:rPr>
                <w:color w:val="1F497D"/>
              </w:rPr>
              <w:t>F</w:t>
            </w:r>
          </w:p>
        </w:tc>
        <w:tc>
          <w:tcPr>
            <w:tcW w:w="8199" w:type="dxa"/>
            <w:tcBorders>
              <w:top w:val="nil"/>
              <w:left w:val="nil"/>
              <w:bottom w:val="single" w:sz="8" w:space="0" w:color="auto"/>
              <w:right w:val="single" w:sz="8" w:space="0" w:color="auto"/>
            </w:tcBorders>
            <w:noWrap/>
            <w:tcMar>
              <w:top w:w="0" w:type="dxa"/>
              <w:left w:w="108" w:type="dxa"/>
              <w:bottom w:w="0" w:type="dxa"/>
              <w:right w:w="108" w:type="dxa"/>
            </w:tcMar>
            <w:hideMark/>
          </w:tcPr>
          <w:p w14:paraId="300DEDF0" w14:textId="32E6B6F9" w:rsidR="00453057" w:rsidRDefault="00453057" w:rsidP="00EB3C1C">
            <w:pPr>
              <w:jc w:val="both"/>
            </w:pPr>
            <w:r>
              <w:rPr>
                <w:noProof/>
              </w:rPr>
              <w:drawing>
                <wp:inline distT="0" distB="0" distL="0" distR="0" wp14:anchorId="4D69A451" wp14:editId="65D837EF">
                  <wp:extent cx="3511550" cy="97155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511550" cy="971550"/>
                          </a:xfrm>
                          <a:prstGeom prst="rect">
                            <a:avLst/>
                          </a:prstGeom>
                          <a:noFill/>
                          <a:ln>
                            <a:noFill/>
                          </a:ln>
                        </pic:spPr>
                      </pic:pic>
                    </a:graphicData>
                  </a:graphic>
                </wp:inline>
              </w:drawing>
            </w:r>
          </w:p>
        </w:tc>
      </w:tr>
    </w:tbl>
    <w:p w14:paraId="1183F709" w14:textId="77777777" w:rsidR="00453057" w:rsidRDefault="00453057" w:rsidP="00EB3C1C">
      <w:pPr>
        <w:ind w:left="360"/>
        <w:jc w:val="both"/>
        <w:rPr>
          <w:rFonts w:ascii="Calibri" w:hAnsi="Calibri" w:cs="Calibri"/>
        </w:rPr>
      </w:pPr>
    </w:p>
    <w:p w14:paraId="7AE6CF18" w14:textId="2451B38F" w:rsidR="00122F07" w:rsidRDefault="00122F07" w:rsidP="00D33728">
      <w:pPr>
        <w:pStyle w:val="ListParagraph"/>
        <w:numPr>
          <w:ilvl w:val="0"/>
          <w:numId w:val="1"/>
        </w:numPr>
        <w:jc w:val="both"/>
      </w:pPr>
      <w:r w:rsidRPr="00D71CE4">
        <w:rPr>
          <w:b/>
          <w:bCs/>
          <w:u w:val="single"/>
        </w:rPr>
        <w:t>Stop the HRT</w:t>
      </w:r>
      <w:r w:rsidR="00125C83" w:rsidRPr="00D71CE4">
        <w:rPr>
          <w:b/>
          <w:bCs/>
          <w:u w:val="single"/>
        </w:rPr>
        <w:t xml:space="preserve"> for women on HRT with PMB</w:t>
      </w:r>
      <w:r w:rsidR="00A10DB5" w:rsidRPr="00D71CE4">
        <w:rPr>
          <w:b/>
          <w:bCs/>
          <w:u w:val="single"/>
        </w:rPr>
        <w:t xml:space="preserve"> if they have been on HRT for more than 6 months</w:t>
      </w:r>
      <w:r w:rsidR="009B368E">
        <w:t xml:space="preserve">. </w:t>
      </w:r>
      <w:r w:rsidR="00125C83">
        <w:t>The</w:t>
      </w:r>
      <w:r>
        <w:t xml:space="preserve"> HRT needs to be </w:t>
      </w:r>
      <w:r w:rsidRPr="00122F07">
        <w:rPr>
          <w:b/>
          <w:bCs/>
          <w:i/>
          <w:iCs/>
        </w:rPr>
        <w:t>stopped for 6 weeks</w:t>
      </w:r>
      <w:r>
        <w:t xml:space="preserve"> to see if the bleeding settles.  If bleeding continues</w:t>
      </w:r>
      <w:r w:rsidR="00125C83">
        <w:t xml:space="preserve"> after 6 weeks</w:t>
      </w:r>
      <w:r>
        <w:t xml:space="preserve"> off HRT, then a 2 WW Gynae referral is appropriate.  If the USS is performed whilst the patient is still on HRT, or has not stopped it for 6 weeks or more, the endometrium is highly likely to be </w:t>
      </w:r>
      <w:r w:rsidRPr="00122F07">
        <w:rPr>
          <w:rFonts w:cstheme="minorHAnsi"/>
        </w:rPr>
        <w:t>≥</w:t>
      </w:r>
      <w:r>
        <w:t>4 mm</w:t>
      </w:r>
      <w:r w:rsidR="005C6F55">
        <w:t xml:space="preserve"> so should not be done at that time</w:t>
      </w:r>
      <w:r>
        <w:t xml:space="preserve">. </w:t>
      </w:r>
      <w:r w:rsidR="005C6F55">
        <w:t xml:space="preserve">  If the patient is still on HRT when scanned </w:t>
      </w:r>
      <w:r w:rsidR="00F66C2C">
        <w:t xml:space="preserve">this </w:t>
      </w:r>
      <w:r w:rsidR="00231104">
        <w:t xml:space="preserve">can </w:t>
      </w:r>
      <w:r w:rsidR="00F66C2C">
        <w:t>result in t</w:t>
      </w:r>
      <w:r>
        <w:t>he</w:t>
      </w:r>
      <w:r w:rsidR="00F66C2C">
        <w:t>m</w:t>
      </w:r>
      <w:r>
        <w:t xml:space="preserve"> </w:t>
      </w:r>
      <w:r w:rsidR="00F66C2C">
        <w:t>h</w:t>
      </w:r>
      <w:r>
        <w:t>aving unnecessary</w:t>
      </w:r>
      <w:r w:rsidR="00CF38EB">
        <w:t xml:space="preserve"> </w:t>
      </w:r>
      <w:r>
        <w:t>endometrial sampling/hysteroscopy which is putting them at increased risk as these investigations are invasive.</w:t>
      </w:r>
    </w:p>
    <w:p w14:paraId="03A3C628" w14:textId="77777777" w:rsidR="00122F07" w:rsidRDefault="00122F07" w:rsidP="00122F07">
      <w:pPr>
        <w:pStyle w:val="ListParagraph"/>
        <w:jc w:val="both"/>
      </w:pPr>
    </w:p>
    <w:p w14:paraId="1B533128" w14:textId="45E5B9CC" w:rsidR="009640A2" w:rsidRDefault="00122F07" w:rsidP="00CF38EB">
      <w:pPr>
        <w:jc w:val="both"/>
      </w:pPr>
      <w:r>
        <w:t xml:space="preserve">If the bleeding returns after restarting HRT (which will </w:t>
      </w:r>
      <w:r w:rsidR="006F4CA2">
        <w:t xml:space="preserve">most likely </w:t>
      </w:r>
      <w:r>
        <w:t>be due to insufficient suppression of the endometrium by the progest</w:t>
      </w:r>
      <w:r w:rsidR="009B368E">
        <w:t xml:space="preserve">ogen </w:t>
      </w:r>
      <w:r>
        <w:t>component of the HRT chosen)</w:t>
      </w:r>
      <w:r w:rsidR="009B368E">
        <w:t>,</w:t>
      </w:r>
      <w:r>
        <w:t xml:space="preserve"> </w:t>
      </w:r>
      <w:r w:rsidR="00627F11">
        <w:t>please consider adjustments to HRT as indicated in the table below.</w:t>
      </w:r>
    </w:p>
    <w:p w14:paraId="3CF59884" w14:textId="5B4C6720" w:rsidR="00122F07" w:rsidRDefault="009640A2" w:rsidP="00CF38EB">
      <w:pPr>
        <w:jc w:val="both"/>
      </w:pPr>
      <w:r w:rsidRPr="0092503D">
        <w:t xml:space="preserve">Advice on complex cases </w:t>
      </w:r>
      <w:r w:rsidR="00627F11" w:rsidRPr="0092503D">
        <w:t>can be sought from the Somerset NHS Menopause Service</w:t>
      </w:r>
      <w:r w:rsidR="00B548B1" w:rsidRPr="0092503D">
        <w:t xml:space="preserve"> (contact details </w:t>
      </w:r>
      <w:r w:rsidR="00395110" w:rsidRPr="0092503D">
        <w:t xml:space="preserve">are </w:t>
      </w:r>
      <w:r w:rsidR="00B548B1" w:rsidRPr="0092503D">
        <w:t xml:space="preserve">available on </w:t>
      </w:r>
      <w:proofErr w:type="spellStart"/>
      <w:r w:rsidR="00B548B1" w:rsidRPr="0092503D">
        <w:t>TeamsNet</w:t>
      </w:r>
      <w:proofErr w:type="spellEnd"/>
      <w:r w:rsidR="00395110" w:rsidRPr="0092503D">
        <w:t xml:space="preserve"> under both the </w:t>
      </w:r>
      <w:r w:rsidR="00E109D8" w:rsidRPr="0092503D">
        <w:t>‘</w:t>
      </w:r>
      <w:r w:rsidR="00395110" w:rsidRPr="0092503D">
        <w:t>Gynaecology</w:t>
      </w:r>
      <w:r w:rsidR="00E109D8" w:rsidRPr="0092503D">
        <w:t>’</w:t>
      </w:r>
      <w:r w:rsidR="00395110" w:rsidRPr="0092503D">
        <w:t xml:space="preserve"> and </w:t>
      </w:r>
      <w:r w:rsidR="00E109D8" w:rsidRPr="0092503D">
        <w:t>‘</w:t>
      </w:r>
      <w:r w:rsidR="00395110" w:rsidRPr="0092503D">
        <w:t>Women</w:t>
      </w:r>
      <w:r w:rsidR="00E109D8" w:rsidRPr="0092503D">
        <w:t>’</w:t>
      </w:r>
      <w:r w:rsidR="00395110" w:rsidRPr="0092503D">
        <w:t xml:space="preserve"> sections</w:t>
      </w:r>
      <w:r w:rsidR="00B548B1" w:rsidRPr="0092503D">
        <w:t>)</w:t>
      </w:r>
      <w:r w:rsidR="00627F11" w:rsidRPr="0092503D">
        <w:t>.</w:t>
      </w:r>
      <w:r w:rsidR="00747694" w:rsidRPr="0092503D">
        <w:t xml:space="preserve"> </w:t>
      </w:r>
      <w:r w:rsidR="00627F11" w:rsidRPr="0092503D">
        <w:t xml:space="preserve"> A detailed letter can be sent for Advice and Guidance but please note this service is a limited resource and is unable to give urgent advice.</w:t>
      </w:r>
      <w:r w:rsidRPr="0092503D">
        <w:t xml:space="preserve"> </w:t>
      </w:r>
      <w:r w:rsidR="00E109D8" w:rsidRPr="0092503D">
        <w:t xml:space="preserve"> </w:t>
      </w:r>
    </w:p>
    <w:p w14:paraId="3E91D009" w14:textId="77777777" w:rsidR="00122F07" w:rsidRPr="00453057" w:rsidRDefault="00122F07" w:rsidP="00EB3C1C">
      <w:pPr>
        <w:ind w:left="360"/>
        <w:jc w:val="both"/>
        <w:rPr>
          <w:rFonts w:ascii="Calibri" w:hAnsi="Calibri" w:cs="Calibri"/>
        </w:rPr>
      </w:pPr>
    </w:p>
    <w:p w14:paraId="1260740C" w14:textId="0E01D1A9" w:rsidR="0088496A" w:rsidRDefault="006412E4" w:rsidP="00122F07">
      <w:pPr>
        <w:pStyle w:val="ListParagraph"/>
        <w:numPr>
          <w:ilvl w:val="0"/>
          <w:numId w:val="1"/>
        </w:numPr>
        <w:jc w:val="both"/>
      </w:pPr>
      <w:r w:rsidRPr="0014112F">
        <w:rPr>
          <w:b/>
          <w:bCs/>
          <w:u w:val="single"/>
        </w:rPr>
        <w:t>Review the USS result</w:t>
      </w:r>
      <w:r>
        <w:t xml:space="preserve"> – this is essential</w:t>
      </w:r>
      <w:r w:rsidR="00596C32">
        <w:t>,</w:t>
      </w:r>
      <w:r>
        <w:t xml:space="preserve"> as it tells you the endometrial thickness</w:t>
      </w:r>
      <w:r w:rsidR="000128DF">
        <w:t xml:space="preserve"> and whether there is any ovarian pathology</w:t>
      </w:r>
      <w:r>
        <w:t xml:space="preserve">.  The cut off for a referral being accepted is </w:t>
      </w:r>
      <w:r w:rsidR="000128DF">
        <w:t xml:space="preserve">an endometrial thickness of </w:t>
      </w:r>
      <w:r w:rsidR="00596C32" w:rsidRPr="0088496A">
        <w:rPr>
          <w:rFonts w:cstheme="minorHAnsi"/>
        </w:rPr>
        <w:t>≥</w:t>
      </w:r>
      <w:r>
        <w:t>4mm (when not on HRT).   If the endometrial lining is thinner than 4mm then the referral will not be accepted by secondary care</w:t>
      </w:r>
      <w:r w:rsidR="00596C32">
        <w:t>,</w:t>
      </w:r>
      <w:r>
        <w:t xml:space="preserve"> as the chance of having endometrial cancer </w:t>
      </w:r>
      <w:r w:rsidR="00A258BA">
        <w:t>is</w:t>
      </w:r>
      <w:r>
        <w:t xml:space="preserve"> &lt; 0.1%.</w:t>
      </w:r>
      <w:r w:rsidR="008F6564">
        <w:t xml:space="preserve">  </w:t>
      </w:r>
      <w:r w:rsidR="00D51A99">
        <w:t xml:space="preserve">Triage </w:t>
      </w:r>
      <w:r w:rsidR="00A258BA">
        <w:t xml:space="preserve">by secondary care </w:t>
      </w:r>
      <w:r w:rsidR="00D51A99">
        <w:t xml:space="preserve">will </w:t>
      </w:r>
      <w:r w:rsidR="000128DF">
        <w:t xml:space="preserve">now </w:t>
      </w:r>
      <w:r w:rsidR="00D51A99">
        <w:t>be stricte</w:t>
      </w:r>
      <w:r w:rsidR="00A258BA">
        <w:t>r</w:t>
      </w:r>
      <w:r w:rsidR="00D51A99">
        <w:t xml:space="preserve"> and a letter explaining why the referral has not been accepted will be sent </w:t>
      </w:r>
      <w:r w:rsidR="00D7775A">
        <w:t xml:space="preserve">back to the referrer </w:t>
      </w:r>
      <w:r w:rsidR="00D51A99">
        <w:t xml:space="preserve">(in line with the 2WW Lower GI letters that are currently sent out by the Colorectal Hub if a 2 WW lower GI referral is declined).  </w:t>
      </w:r>
      <w:r w:rsidR="008F6564">
        <w:t>Safety</w:t>
      </w:r>
      <w:r w:rsidR="00596C32">
        <w:t>-</w:t>
      </w:r>
      <w:r w:rsidR="008F6564">
        <w:t xml:space="preserve">netting patients </w:t>
      </w:r>
      <w:r w:rsidR="000128DF">
        <w:t xml:space="preserve">in primary care </w:t>
      </w:r>
      <w:r w:rsidR="008F6564">
        <w:t>is vital at th</w:t>
      </w:r>
      <w:r w:rsidR="00A258BA">
        <w:t>is</w:t>
      </w:r>
      <w:r w:rsidR="008F6564">
        <w:t xml:space="preserve"> stage</w:t>
      </w:r>
      <w:r w:rsidR="00D7775A">
        <w:t xml:space="preserve"> (see section (5)</w:t>
      </w:r>
      <w:r w:rsidR="00125C83">
        <w:t xml:space="preserve"> below</w:t>
      </w:r>
      <w:r w:rsidR="00D7775A">
        <w:t>)</w:t>
      </w:r>
      <w:r w:rsidR="008F6564">
        <w:t>.</w:t>
      </w:r>
      <w:r w:rsidR="00A258BA">
        <w:t xml:space="preserve"> </w:t>
      </w:r>
      <w:r w:rsidR="00D63BAD">
        <w:t xml:space="preserve">  If the endometrium is &lt;4mm </w:t>
      </w:r>
      <w:r w:rsidR="00596C32">
        <w:t>PMB</w:t>
      </w:r>
      <w:r w:rsidR="00D63BAD">
        <w:t xml:space="preserve"> will </w:t>
      </w:r>
      <w:r w:rsidR="00D7775A">
        <w:t xml:space="preserve">most likely </w:t>
      </w:r>
      <w:r w:rsidR="00D63BAD">
        <w:t xml:space="preserve">be due to other </w:t>
      </w:r>
      <w:r w:rsidR="00596C32">
        <w:t xml:space="preserve">common causes, </w:t>
      </w:r>
      <w:proofErr w:type="spellStart"/>
      <w:r w:rsidR="00D63BAD">
        <w:t>eg</w:t>
      </w:r>
      <w:proofErr w:type="spellEnd"/>
      <w:r w:rsidR="00596C32">
        <w:t xml:space="preserve"> vaginal atrophy</w:t>
      </w:r>
      <w:r w:rsidR="00D63BAD">
        <w:t xml:space="preserve">, which should be treated </w:t>
      </w:r>
      <w:r w:rsidR="00D7775A">
        <w:t>in primary care and the patient</w:t>
      </w:r>
      <w:r w:rsidR="00125C83">
        <w:t xml:space="preserve"> should</w:t>
      </w:r>
      <w:r w:rsidR="00D7775A">
        <w:t xml:space="preserve"> </w:t>
      </w:r>
      <w:r w:rsidR="00D63BAD">
        <w:t xml:space="preserve">not </w:t>
      </w:r>
      <w:r w:rsidR="00D7775A">
        <w:t xml:space="preserve">be </w:t>
      </w:r>
      <w:r w:rsidR="00D63BAD">
        <w:t>referred.</w:t>
      </w:r>
      <w:r w:rsidR="00596C32">
        <w:t xml:space="preserve">  </w:t>
      </w:r>
    </w:p>
    <w:p w14:paraId="489858A9" w14:textId="77777777" w:rsidR="0088496A" w:rsidRDefault="0088496A" w:rsidP="0088496A">
      <w:pPr>
        <w:pStyle w:val="ListParagraph"/>
        <w:jc w:val="both"/>
      </w:pPr>
    </w:p>
    <w:p w14:paraId="3708DCD7" w14:textId="310936AD" w:rsidR="00B2123F" w:rsidRDefault="00D63BAD" w:rsidP="00122F07">
      <w:pPr>
        <w:pStyle w:val="ListParagraph"/>
        <w:numPr>
          <w:ilvl w:val="0"/>
          <w:numId w:val="1"/>
        </w:numPr>
        <w:jc w:val="both"/>
      </w:pPr>
      <w:r w:rsidRPr="007D059E">
        <w:rPr>
          <w:b/>
          <w:bCs/>
          <w:u w:val="single"/>
        </w:rPr>
        <w:t>Continuous/</w:t>
      </w:r>
      <w:r w:rsidR="005F77BF" w:rsidRPr="007D059E">
        <w:rPr>
          <w:b/>
          <w:bCs/>
          <w:u w:val="single"/>
        </w:rPr>
        <w:t>r</w:t>
      </w:r>
      <w:r w:rsidRPr="007D059E">
        <w:rPr>
          <w:b/>
          <w:bCs/>
          <w:u w:val="single"/>
        </w:rPr>
        <w:t>ecurrent vaginal bleeding</w:t>
      </w:r>
      <w:r w:rsidR="00E109D8">
        <w:rPr>
          <w:b/>
          <w:bCs/>
          <w:u w:val="single"/>
        </w:rPr>
        <w:t xml:space="preserve"> (not on HRT at all) following a reassuring </w:t>
      </w:r>
      <w:proofErr w:type="gramStart"/>
      <w:r w:rsidR="00E109D8">
        <w:rPr>
          <w:b/>
          <w:bCs/>
          <w:u w:val="single"/>
        </w:rPr>
        <w:t>scan</w:t>
      </w:r>
      <w:r>
        <w:t xml:space="preserve">  </w:t>
      </w:r>
      <w:r w:rsidR="00AC10FC">
        <w:t>For</w:t>
      </w:r>
      <w:proofErr w:type="gramEnd"/>
      <w:r w:rsidR="00AC10FC">
        <w:t xml:space="preserve"> bleeding &gt; 3 months but &lt; 12 months after a reassuring USS please repeat the U</w:t>
      </w:r>
      <w:r>
        <w:t xml:space="preserve">SS </w:t>
      </w:r>
      <w:r w:rsidR="00AC10FC">
        <w:t>and</w:t>
      </w:r>
      <w:r>
        <w:t xml:space="preserve"> re-examine the patient</w:t>
      </w:r>
      <w:r w:rsidR="00AC10FC">
        <w:t>.  If</w:t>
      </w:r>
      <w:r>
        <w:t xml:space="preserve"> no obvious </w:t>
      </w:r>
      <w:r w:rsidR="00AC10FC">
        <w:t xml:space="preserve">non-cancerous </w:t>
      </w:r>
      <w:r>
        <w:t>cause for the bleeding is seen then make a 2 WW Gynaecology referral via C the Signs/</w:t>
      </w:r>
      <w:proofErr w:type="spellStart"/>
      <w:r>
        <w:t>eRS</w:t>
      </w:r>
      <w:proofErr w:type="spellEnd"/>
      <w:r>
        <w:t xml:space="preserve"> regardless of </w:t>
      </w:r>
      <w:r w:rsidR="002E46D3">
        <w:t xml:space="preserve">the </w:t>
      </w:r>
      <w:r>
        <w:t>endometrial thickness.   There is a new box to tick on the new 2 WW referral form</w:t>
      </w:r>
      <w:r w:rsidR="002E46D3">
        <w:t xml:space="preserve"> for th</w:t>
      </w:r>
      <w:r w:rsidR="009E5899">
        <w:t>ese patients</w:t>
      </w:r>
      <w:r w:rsidR="002E46D3">
        <w:t>.</w:t>
      </w:r>
    </w:p>
    <w:p w14:paraId="7FB52BAA" w14:textId="77777777" w:rsidR="00D63BAD" w:rsidRDefault="00D63BAD" w:rsidP="00D63BAD">
      <w:pPr>
        <w:pStyle w:val="ListParagraph"/>
      </w:pPr>
    </w:p>
    <w:p w14:paraId="70C8C432" w14:textId="311075D2" w:rsidR="006412E4" w:rsidRDefault="006412E4" w:rsidP="00122F07">
      <w:pPr>
        <w:pStyle w:val="ListParagraph"/>
        <w:numPr>
          <w:ilvl w:val="0"/>
          <w:numId w:val="1"/>
        </w:numPr>
        <w:jc w:val="both"/>
      </w:pPr>
      <w:r>
        <w:t xml:space="preserve">Heavy perimenopausal bleeding &lt; 50 years – as before, please ask for A&amp;G via ERS. </w:t>
      </w:r>
    </w:p>
    <w:p w14:paraId="6AB97D5B" w14:textId="77777777" w:rsidR="00B2123F" w:rsidRDefault="00B2123F" w:rsidP="00B2123F">
      <w:pPr>
        <w:pStyle w:val="ListParagraph"/>
        <w:jc w:val="both"/>
      </w:pPr>
    </w:p>
    <w:p w14:paraId="73BACDDC" w14:textId="62B7CA23" w:rsidR="0088496A" w:rsidRDefault="00596C32" w:rsidP="00122F07">
      <w:pPr>
        <w:pStyle w:val="ListParagraph"/>
        <w:numPr>
          <w:ilvl w:val="0"/>
          <w:numId w:val="1"/>
        </w:numPr>
        <w:jc w:val="both"/>
      </w:pPr>
      <w:r>
        <w:t>Anyone not meeting</w:t>
      </w:r>
      <w:r w:rsidR="00B2123F">
        <w:t xml:space="preserve"> the </w:t>
      </w:r>
      <w:r w:rsidR="00FF36B5">
        <w:t>N</w:t>
      </w:r>
      <w:r w:rsidR="00B2123F">
        <w:t>ICE</w:t>
      </w:r>
      <w:r w:rsidR="002E46D3">
        <w:t xml:space="preserve"> NG12 </w:t>
      </w:r>
      <w:r w:rsidR="00FF36B5">
        <w:t xml:space="preserve">2WW </w:t>
      </w:r>
      <w:r>
        <w:t>referral criteria</w:t>
      </w:r>
      <w:r w:rsidR="00B2123F">
        <w:t xml:space="preserve"> (as detailed on the 2 WW Gynaecology referral form on C the Signs)</w:t>
      </w:r>
      <w:r w:rsidR="00FF36B5">
        <w:t>,</w:t>
      </w:r>
      <w:r w:rsidR="00D63BAD">
        <w:t xml:space="preserve"> </w:t>
      </w:r>
      <w:r w:rsidR="0088496A">
        <w:t>but</w:t>
      </w:r>
      <w:r w:rsidR="00AC10FC">
        <w:t xml:space="preserve"> who</w:t>
      </w:r>
      <w:r w:rsidR="0088496A">
        <w:t xml:space="preserve"> has risk</w:t>
      </w:r>
      <w:r>
        <w:t xml:space="preserve"> factors </w:t>
      </w:r>
      <w:r w:rsidR="0088496A">
        <w:t>for endometrial cancer</w:t>
      </w:r>
      <w:r w:rsidR="00AC10FC">
        <w:t>,</w:t>
      </w:r>
      <w:r w:rsidR="0088496A">
        <w:t xml:space="preserve"> </w:t>
      </w:r>
      <w:r w:rsidR="00AC10FC">
        <w:t>should</w:t>
      </w:r>
      <w:r>
        <w:t xml:space="preserve"> be referred </w:t>
      </w:r>
      <w:r w:rsidR="00B2123F">
        <w:t xml:space="preserve">urgently by </w:t>
      </w:r>
      <w:r w:rsidR="00FF36B5">
        <w:t>letter</w:t>
      </w:r>
      <w:r w:rsidR="00B2123F">
        <w:t xml:space="preserve"> via </w:t>
      </w:r>
      <w:proofErr w:type="spellStart"/>
      <w:r w:rsidR="00B2123F">
        <w:t>eRS</w:t>
      </w:r>
      <w:proofErr w:type="spellEnd"/>
      <w:r w:rsidR="00AC10FC">
        <w:t xml:space="preserve"> to Gynaecology or Gynaecological Oncology</w:t>
      </w:r>
      <w:r w:rsidR="00FF36B5">
        <w:t xml:space="preserve">. </w:t>
      </w:r>
      <w:r w:rsidR="00B2123F">
        <w:t xml:space="preserve">  </w:t>
      </w:r>
      <w:r w:rsidR="0088496A">
        <w:t xml:space="preserve">Risk factors </w:t>
      </w:r>
      <w:r w:rsidR="002E46D3">
        <w:t>include</w:t>
      </w:r>
      <w:r w:rsidR="0088496A">
        <w:t>:</w:t>
      </w:r>
      <w:r w:rsidR="00FF36B5">
        <w:t xml:space="preserve"> </w:t>
      </w:r>
    </w:p>
    <w:p w14:paraId="60785B3E" w14:textId="77777777" w:rsidR="0088496A" w:rsidRDefault="0088496A" w:rsidP="0088496A">
      <w:pPr>
        <w:pStyle w:val="ListParagraph"/>
      </w:pPr>
    </w:p>
    <w:p w14:paraId="7BEDE576" w14:textId="5E6F2019" w:rsidR="0088496A" w:rsidRDefault="00FF36B5" w:rsidP="00122F07">
      <w:pPr>
        <w:pStyle w:val="ListParagraph"/>
        <w:numPr>
          <w:ilvl w:val="1"/>
          <w:numId w:val="1"/>
        </w:numPr>
        <w:jc w:val="both"/>
      </w:pPr>
      <w:r>
        <w:t xml:space="preserve">one major risk factor from: BMI &gt;40; Lynch syndrome; tamoxifen; unopposed oestrogen use (not including vaginal oestrogen)   </w:t>
      </w:r>
    </w:p>
    <w:p w14:paraId="4BDF8D38" w14:textId="77777777" w:rsidR="0088496A" w:rsidRDefault="0088496A" w:rsidP="0088496A">
      <w:pPr>
        <w:pStyle w:val="ListParagraph"/>
        <w:ind w:left="1440"/>
        <w:jc w:val="both"/>
      </w:pPr>
    </w:p>
    <w:p w14:paraId="588C4267" w14:textId="061A3A78" w:rsidR="00EB3C1C" w:rsidRDefault="00D33728" w:rsidP="00122F07">
      <w:pPr>
        <w:pStyle w:val="ListParagraph"/>
        <w:numPr>
          <w:ilvl w:val="1"/>
          <w:numId w:val="1"/>
        </w:numPr>
        <w:jc w:val="both"/>
      </w:pPr>
      <w:r>
        <w:t>t</w:t>
      </w:r>
      <w:r w:rsidR="00FF36B5">
        <w:t xml:space="preserve">wo or more minor risk factors from: BMI &gt;30; </w:t>
      </w:r>
      <w:r>
        <w:t>d</w:t>
      </w:r>
      <w:r w:rsidR="00FF36B5">
        <w:t>iabetes mellitus; hypertension; liver disease; PCOS</w:t>
      </w:r>
      <w:r w:rsidR="0088496A">
        <w:t>.</w:t>
      </w:r>
    </w:p>
    <w:p w14:paraId="7B6B8139" w14:textId="3E5F602C" w:rsidR="002E46D3" w:rsidRDefault="002E46D3">
      <w:pPr>
        <w:rPr>
          <w:highlight w:val="lightGray"/>
        </w:rPr>
      </w:pPr>
    </w:p>
    <w:p w14:paraId="5258022F" w14:textId="55FF6AF2" w:rsidR="0088496A" w:rsidRDefault="0088496A" w:rsidP="002E46D3">
      <w:pPr>
        <w:pStyle w:val="ListParagraph"/>
        <w:numPr>
          <w:ilvl w:val="0"/>
          <w:numId w:val="1"/>
        </w:numPr>
        <w:jc w:val="both"/>
      </w:pPr>
      <w:r w:rsidRPr="00062D91">
        <w:rPr>
          <w:b/>
          <w:bCs/>
          <w:u w:val="single"/>
        </w:rPr>
        <w:t>For those without risk factors for endometrial cancer please optimise HRT</w:t>
      </w:r>
      <w:r w:rsidR="009B70A2">
        <w:t>.   This advice has been jointly written by the Gynaecology Team at Musgrove and Dr Juliet Balfour (GP with special interest in treatment of the Menopause, who runs the Somerset NHS Menopause Service) in line with current national guidelines.   The current advice is</w:t>
      </w:r>
      <w:r>
        <w:t xml:space="preserve"> as follows: </w:t>
      </w:r>
    </w:p>
    <w:p w14:paraId="1A364A0B" w14:textId="77777777" w:rsidR="002E46D3" w:rsidRDefault="002E46D3" w:rsidP="002E46D3">
      <w:pPr>
        <w:pStyle w:val="ListParagraph"/>
        <w:ind w:left="643"/>
        <w:jc w:val="both"/>
      </w:pPr>
    </w:p>
    <w:tbl>
      <w:tblPr>
        <w:tblStyle w:val="TableGrid"/>
        <w:tblW w:w="0" w:type="auto"/>
        <w:tblLook w:val="04A0" w:firstRow="1" w:lastRow="0" w:firstColumn="1" w:lastColumn="0" w:noHBand="0" w:noVBand="1"/>
      </w:tblPr>
      <w:tblGrid>
        <w:gridCol w:w="8784"/>
      </w:tblGrid>
      <w:tr w:rsidR="0088496A" w14:paraId="30AF317C" w14:textId="77777777" w:rsidTr="0088496A">
        <w:trPr>
          <w:trHeight w:val="4893"/>
        </w:trPr>
        <w:tc>
          <w:tcPr>
            <w:tcW w:w="8784" w:type="dxa"/>
          </w:tcPr>
          <w:p w14:paraId="7148D18E" w14:textId="77777777" w:rsidR="002E46D3" w:rsidRDefault="0088496A" w:rsidP="0088496A">
            <w:pPr>
              <w:jc w:val="both"/>
            </w:pPr>
            <w:bookmarkStart w:id="1" w:name="_Hlk141101324"/>
            <w:r>
              <w:lastRenderedPageBreak/>
              <w:tab/>
            </w:r>
          </w:p>
          <w:p w14:paraId="4C0A2855" w14:textId="3F9C8F40" w:rsidR="0088496A" w:rsidRDefault="009B368E" w:rsidP="002E46D3">
            <w:pPr>
              <w:jc w:val="center"/>
              <w:rPr>
                <w:b/>
                <w:bCs/>
              </w:rPr>
            </w:pPr>
            <w:r>
              <w:rPr>
                <w:b/>
                <w:bCs/>
              </w:rPr>
              <w:t xml:space="preserve">OPTIONS FOR </w:t>
            </w:r>
            <w:r w:rsidR="0088496A" w:rsidRPr="00FF36B5">
              <w:rPr>
                <w:b/>
                <w:bCs/>
              </w:rPr>
              <w:t>OPTIMISING HRT TO REDUCE UNSCHEDULED BLEEDING:</w:t>
            </w:r>
          </w:p>
          <w:p w14:paraId="030E1554" w14:textId="77777777" w:rsidR="00627F11" w:rsidRDefault="00627F11" w:rsidP="002E46D3">
            <w:pPr>
              <w:jc w:val="center"/>
              <w:rPr>
                <w:b/>
                <w:bCs/>
              </w:rPr>
            </w:pPr>
          </w:p>
          <w:p w14:paraId="5AB09A2B" w14:textId="6DB9EA4C" w:rsidR="00627F11" w:rsidRPr="00E904B5" w:rsidRDefault="00627F11" w:rsidP="00E904B5">
            <w:pPr>
              <w:rPr>
                <w:b/>
                <w:bCs/>
              </w:rPr>
            </w:pPr>
          </w:p>
          <w:p w14:paraId="730C4C80" w14:textId="77777777" w:rsidR="0088496A" w:rsidRDefault="0088496A" w:rsidP="0088496A">
            <w:pPr>
              <w:jc w:val="both"/>
            </w:pPr>
          </w:p>
          <w:p w14:paraId="62420327" w14:textId="3741BEBF" w:rsidR="00537D6D" w:rsidRDefault="0088496A" w:rsidP="00537D6D">
            <w:pPr>
              <w:pStyle w:val="ListParagraph"/>
              <w:numPr>
                <w:ilvl w:val="0"/>
                <w:numId w:val="3"/>
              </w:numPr>
              <w:jc w:val="both"/>
            </w:pPr>
            <w:r>
              <w:t xml:space="preserve">Mirena IUS (supplement with additional progestogens such as norethisterone, </w:t>
            </w:r>
            <w:r w:rsidR="00D33728">
              <w:t>Provera</w:t>
            </w:r>
            <w:r>
              <w:t xml:space="preserve">, </w:t>
            </w:r>
          </w:p>
          <w:p w14:paraId="3CBA1547" w14:textId="4FE69B65" w:rsidR="0088496A" w:rsidRDefault="00D33728" w:rsidP="00E904B5">
            <w:pPr>
              <w:ind w:left="720"/>
              <w:jc w:val="both"/>
            </w:pPr>
            <w:proofErr w:type="spellStart"/>
            <w:r>
              <w:t>U</w:t>
            </w:r>
            <w:r w:rsidR="0088496A">
              <w:t>trogestan</w:t>
            </w:r>
            <w:proofErr w:type="spellEnd"/>
            <w:r w:rsidR="0088496A">
              <w:t xml:space="preserve"> if already in</w:t>
            </w:r>
            <w:r>
              <w:t xml:space="preserve"> </w:t>
            </w:r>
            <w:r w:rsidR="0088496A">
              <w:t xml:space="preserve">situ) </w:t>
            </w:r>
          </w:p>
          <w:p w14:paraId="7726B5D9" w14:textId="77777777" w:rsidR="00537D6D" w:rsidRDefault="00537D6D" w:rsidP="0088496A">
            <w:pPr>
              <w:jc w:val="both"/>
            </w:pPr>
          </w:p>
          <w:p w14:paraId="49CF1ACF" w14:textId="27132D21" w:rsidR="0088496A" w:rsidRDefault="00537D6D" w:rsidP="0088496A">
            <w:pPr>
              <w:jc w:val="both"/>
            </w:pPr>
            <w:r>
              <w:t xml:space="preserve">       </w:t>
            </w:r>
            <w:r w:rsidR="0088496A">
              <w:t xml:space="preserve">2. </w:t>
            </w:r>
            <w:r>
              <w:t xml:space="preserve">   </w:t>
            </w:r>
            <w:proofErr w:type="spellStart"/>
            <w:r w:rsidR="0088496A">
              <w:t>Utrogestan</w:t>
            </w:r>
            <w:proofErr w:type="spellEnd"/>
            <w:r w:rsidR="0088496A">
              <w:t xml:space="preserve">: </w:t>
            </w:r>
          </w:p>
          <w:p w14:paraId="791BE396" w14:textId="77777777" w:rsidR="00537D6D" w:rsidRDefault="00537D6D" w:rsidP="0088496A">
            <w:pPr>
              <w:ind w:left="720"/>
              <w:jc w:val="both"/>
            </w:pPr>
          </w:p>
          <w:p w14:paraId="01655404" w14:textId="5CE45AD0" w:rsidR="00537D6D" w:rsidRDefault="0088496A" w:rsidP="00537D6D">
            <w:pPr>
              <w:pStyle w:val="ListParagraph"/>
              <w:numPr>
                <w:ilvl w:val="0"/>
                <w:numId w:val="4"/>
              </w:numPr>
              <w:jc w:val="both"/>
            </w:pPr>
            <w:r>
              <w:t xml:space="preserve">increase if fibroids, BMI&gt;30 or high dose oestrogen i.e. 200 mg </w:t>
            </w:r>
            <w:r w:rsidR="009B368E">
              <w:t xml:space="preserve">if </w:t>
            </w:r>
            <w:r>
              <w:t xml:space="preserve">continuous / </w:t>
            </w:r>
            <w:r w:rsidR="00537D6D">
              <w:t xml:space="preserve"> </w:t>
            </w:r>
          </w:p>
          <w:p w14:paraId="2944651F" w14:textId="3F7CD7B2" w:rsidR="0088496A" w:rsidRDefault="0088496A" w:rsidP="00537D6D">
            <w:pPr>
              <w:pStyle w:val="ListParagraph"/>
              <w:ind w:left="1080"/>
              <w:jc w:val="both"/>
            </w:pPr>
            <w:r>
              <w:t xml:space="preserve">300 mg </w:t>
            </w:r>
            <w:r w:rsidR="009B368E">
              <w:t>if s</w:t>
            </w:r>
            <w:r>
              <w:t xml:space="preserve">equential </w:t>
            </w:r>
          </w:p>
          <w:p w14:paraId="29E417D4" w14:textId="77777777" w:rsidR="00537D6D" w:rsidRDefault="00537D6D" w:rsidP="0088496A">
            <w:pPr>
              <w:ind w:left="720"/>
              <w:jc w:val="both"/>
            </w:pPr>
          </w:p>
          <w:p w14:paraId="3FE81BA5" w14:textId="336BA45A" w:rsidR="0088496A" w:rsidRDefault="00537D6D" w:rsidP="0088496A">
            <w:pPr>
              <w:ind w:left="720"/>
              <w:jc w:val="both"/>
            </w:pPr>
            <w:r>
              <w:t xml:space="preserve">b)   </w:t>
            </w:r>
            <w:r w:rsidR="00D33728">
              <w:t>c</w:t>
            </w:r>
            <w:r w:rsidR="0088496A">
              <w:t>hange from daily to days 1-25 if using continuous 200 mg already</w:t>
            </w:r>
          </w:p>
          <w:p w14:paraId="0A0AEDB4" w14:textId="77777777" w:rsidR="00537D6D" w:rsidRDefault="00537D6D" w:rsidP="0088496A">
            <w:pPr>
              <w:ind w:left="720"/>
              <w:jc w:val="both"/>
            </w:pPr>
          </w:p>
          <w:p w14:paraId="46796A6C" w14:textId="0E455002" w:rsidR="0088496A" w:rsidRDefault="00537D6D" w:rsidP="0088496A">
            <w:pPr>
              <w:ind w:left="720"/>
              <w:jc w:val="both"/>
            </w:pPr>
            <w:r>
              <w:t>c</w:t>
            </w:r>
            <w:r w:rsidR="0088496A">
              <w:t xml:space="preserve">) </w:t>
            </w:r>
            <w:r>
              <w:t xml:space="preserve">   </w:t>
            </w:r>
            <w:r w:rsidR="00D33728">
              <w:t>d</w:t>
            </w:r>
            <w:r w:rsidR="0088496A">
              <w:t xml:space="preserve">iscuss switching from oral to vaginal use (same </w:t>
            </w:r>
            <w:r w:rsidR="009B368E">
              <w:t xml:space="preserve">capsule, </w:t>
            </w:r>
            <w:r w:rsidR="0088496A">
              <w:t>dose</w:t>
            </w:r>
            <w:r w:rsidR="009B368E">
              <w:t xml:space="preserve"> and regime)</w:t>
            </w:r>
            <w:r w:rsidR="0088496A">
              <w:t xml:space="preserve"> - off licen</w:t>
            </w:r>
            <w:r w:rsidR="009640A2">
              <w:t>c</w:t>
            </w:r>
            <w:r w:rsidR="0088496A">
              <w:t xml:space="preserve">e) </w:t>
            </w:r>
          </w:p>
          <w:p w14:paraId="4523DB69" w14:textId="77777777" w:rsidR="0088496A" w:rsidRDefault="0088496A" w:rsidP="0088496A">
            <w:pPr>
              <w:jc w:val="both"/>
            </w:pPr>
          </w:p>
          <w:p w14:paraId="3AF49723" w14:textId="1DA823B7" w:rsidR="0088496A" w:rsidRDefault="0088496A" w:rsidP="00537D6D">
            <w:pPr>
              <w:pStyle w:val="ListParagraph"/>
              <w:numPr>
                <w:ilvl w:val="0"/>
                <w:numId w:val="5"/>
              </w:numPr>
              <w:jc w:val="both"/>
            </w:pPr>
            <w:r>
              <w:t xml:space="preserve">Switch to an equivalent androgenic progestogen (e.g., </w:t>
            </w:r>
            <w:proofErr w:type="spellStart"/>
            <w:r w:rsidR="00D33728">
              <w:t>El</w:t>
            </w:r>
            <w:r>
              <w:t>leste</w:t>
            </w:r>
            <w:proofErr w:type="spellEnd"/>
            <w:r>
              <w:t xml:space="preserve"> duet, </w:t>
            </w:r>
            <w:proofErr w:type="spellStart"/>
            <w:r w:rsidR="00D33728">
              <w:t>K</w:t>
            </w:r>
            <w:r>
              <w:t>liofem</w:t>
            </w:r>
            <w:proofErr w:type="spellEnd"/>
            <w:r>
              <w:t xml:space="preserve"> /</w:t>
            </w:r>
            <w:proofErr w:type="spellStart"/>
            <w:r w:rsidR="00D33728">
              <w:t>K</w:t>
            </w:r>
            <w:r>
              <w:t>liovance</w:t>
            </w:r>
            <w:proofErr w:type="spellEnd"/>
            <w:r>
              <w:t xml:space="preserve">, </w:t>
            </w:r>
            <w:proofErr w:type="spellStart"/>
            <w:r w:rsidR="00D33728">
              <w:t>E</w:t>
            </w:r>
            <w:r>
              <w:t>vorel</w:t>
            </w:r>
            <w:proofErr w:type="spellEnd"/>
            <w:r>
              <w:t xml:space="preserve"> </w:t>
            </w:r>
            <w:proofErr w:type="spellStart"/>
            <w:r>
              <w:t>conti</w:t>
            </w:r>
            <w:proofErr w:type="spellEnd"/>
            <w:r>
              <w:t xml:space="preserve"> / </w:t>
            </w:r>
            <w:proofErr w:type="spellStart"/>
            <w:r>
              <w:t>sequi</w:t>
            </w:r>
            <w:proofErr w:type="spellEnd"/>
            <w:r>
              <w:t xml:space="preserve">) </w:t>
            </w:r>
          </w:p>
          <w:p w14:paraId="6BC095B2" w14:textId="77777777" w:rsidR="00537D6D" w:rsidRDefault="00537D6D" w:rsidP="0088496A">
            <w:pPr>
              <w:jc w:val="both"/>
            </w:pPr>
            <w:r>
              <w:t xml:space="preserve">      </w:t>
            </w:r>
          </w:p>
          <w:p w14:paraId="5456F4C0" w14:textId="153BBAD9" w:rsidR="0088496A" w:rsidRDefault="00537D6D" w:rsidP="0088496A">
            <w:pPr>
              <w:jc w:val="both"/>
            </w:pPr>
            <w:r>
              <w:t xml:space="preserve">       </w:t>
            </w:r>
            <w:r w:rsidR="0088496A">
              <w:t xml:space="preserve">4. </w:t>
            </w:r>
            <w:r>
              <w:t xml:space="preserve">   </w:t>
            </w:r>
            <w:r w:rsidR="0088496A">
              <w:t xml:space="preserve">Switch to sequential HRT for 6-12 months if the patient is on continuous combined HRT </w:t>
            </w:r>
          </w:p>
          <w:p w14:paraId="680D742C" w14:textId="77777777" w:rsidR="0088496A" w:rsidRDefault="0088496A" w:rsidP="0088496A">
            <w:pPr>
              <w:jc w:val="both"/>
            </w:pPr>
          </w:p>
          <w:p w14:paraId="2F8847CE" w14:textId="77A34ADE" w:rsidR="0088496A" w:rsidRDefault="00537D6D" w:rsidP="00537D6D">
            <w:pPr>
              <w:ind w:left="360"/>
              <w:jc w:val="both"/>
            </w:pPr>
            <w:r>
              <w:t>5</w:t>
            </w:r>
            <w:r w:rsidR="0088496A">
              <w:t xml:space="preserve"> </w:t>
            </w:r>
            <w:r>
              <w:t xml:space="preserve">   </w:t>
            </w:r>
            <w:r w:rsidR="0088496A">
              <w:t xml:space="preserve">Add in norethisterone, </w:t>
            </w:r>
            <w:r w:rsidR="009640A2">
              <w:t>Depo-Provera</w:t>
            </w:r>
            <w:r w:rsidR="0088496A">
              <w:t xml:space="preserve"> or POP</w:t>
            </w:r>
          </w:p>
          <w:p w14:paraId="61BF7342" w14:textId="77777777" w:rsidR="00627F11" w:rsidRDefault="00627F11" w:rsidP="00537D6D">
            <w:pPr>
              <w:ind w:left="360"/>
              <w:jc w:val="both"/>
            </w:pPr>
          </w:p>
          <w:p w14:paraId="602DD68E" w14:textId="4B03AA65" w:rsidR="00627F11" w:rsidRDefault="00627F11" w:rsidP="00537D6D">
            <w:pPr>
              <w:ind w:left="360"/>
              <w:jc w:val="both"/>
            </w:pPr>
            <w:r>
              <w:t>6.  Consider reducing the dose of oestrogen if indicated</w:t>
            </w:r>
          </w:p>
          <w:p w14:paraId="414ED7F8" w14:textId="77777777" w:rsidR="00D33728" w:rsidRDefault="00D33728" w:rsidP="00537D6D">
            <w:pPr>
              <w:ind w:left="360"/>
              <w:jc w:val="both"/>
            </w:pPr>
          </w:p>
          <w:p w14:paraId="28221167" w14:textId="1E17AFEA" w:rsidR="00D33728" w:rsidRDefault="00D33728" w:rsidP="00537D6D">
            <w:pPr>
              <w:ind w:left="360"/>
              <w:jc w:val="both"/>
            </w:pPr>
            <w:r>
              <w:t>NB oral oestrogen and norethisterone not suitable for those with risk factors for thrombosis</w:t>
            </w:r>
          </w:p>
          <w:p w14:paraId="00254405" w14:textId="3482E1E0" w:rsidR="002E46D3" w:rsidRDefault="002E46D3" w:rsidP="00537D6D">
            <w:pPr>
              <w:ind w:left="360"/>
              <w:jc w:val="both"/>
            </w:pPr>
          </w:p>
        </w:tc>
      </w:tr>
      <w:bookmarkEnd w:id="1"/>
    </w:tbl>
    <w:p w14:paraId="506242F7" w14:textId="7B31927C" w:rsidR="0088496A" w:rsidRDefault="0088496A" w:rsidP="0088496A">
      <w:pPr>
        <w:tabs>
          <w:tab w:val="left" w:pos="2100"/>
        </w:tabs>
        <w:jc w:val="both"/>
      </w:pPr>
    </w:p>
    <w:p w14:paraId="67E73823" w14:textId="662BAA7E" w:rsidR="00E7229C" w:rsidRDefault="00E7229C" w:rsidP="00E7229C">
      <w:pPr>
        <w:jc w:val="both"/>
      </w:pPr>
      <w:r>
        <w:t>The Somerset Wiltshire Avon and Gloucester (SWAG) Cancer Alliance endorses the information contained within this comms, it is being implemented by multiple systems and it is in line with national guidelines</w:t>
      </w:r>
      <w:r w:rsidR="00C07DEF">
        <w:t xml:space="preserve"> (</w:t>
      </w:r>
      <w:r w:rsidR="00C07DEF" w:rsidRPr="006A642A">
        <w:rPr>
          <w:i/>
          <w:iCs/>
        </w:rPr>
        <w:t>NICE guidance for Suspected Cancer</w:t>
      </w:r>
      <w:r w:rsidR="00C07DEF" w:rsidRPr="006A642A">
        <w:t xml:space="preserve"> (NG12) and </w:t>
      </w:r>
      <w:r w:rsidR="00C07DEF" w:rsidRPr="006A642A">
        <w:rPr>
          <w:i/>
          <w:iCs/>
        </w:rPr>
        <w:t>British Gynaecological Cancer Society (BGCS) Uterine Cancer Guidelines: Recommendations for Practice</w:t>
      </w:r>
      <w:r w:rsidR="00C07DEF">
        <w:rPr>
          <w:i/>
          <w:iCs/>
        </w:rPr>
        <w:t>)</w:t>
      </w:r>
      <w:r>
        <w:t>.</w:t>
      </w:r>
      <w:r w:rsidR="00C07DEF">
        <w:t xml:space="preserve"> </w:t>
      </w:r>
      <w:r>
        <w:t xml:space="preserve"> Discussions are currently underway nationally about the pros and cons of stopping HRT for women with PMB, and it is anticipated that a Consensus Statement, based upon best practice, </w:t>
      </w:r>
      <w:r w:rsidR="00AC10FC">
        <w:t xml:space="preserve">will be </w:t>
      </w:r>
      <w:r>
        <w:t xml:space="preserve">issued in the autumn which may change the 2 WW Gynaecology pathway in the future. </w:t>
      </w:r>
    </w:p>
    <w:p w14:paraId="028E4640" w14:textId="05495C76" w:rsidR="00EB3C1C" w:rsidRDefault="00EB3C1C" w:rsidP="00EB3C1C">
      <w:pPr>
        <w:jc w:val="both"/>
      </w:pPr>
      <w:r>
        <w:t xml:space="preserve">There is now a new-look 2 WW Gynaecology Referral Form on </w:t>
      </w:r>
      <w:r w:rsidRPr="00E7229C">
        <w:t>C</w:t>
      </w:r>
      <w:r w:rsidR="00596C32" w:rsidRPr="00E7229C">
        <w:t>-</w:t>
      </w:r>
      <w:r w:rsidRPr="00E7229C">
        <w:t>the</w:t>
      </w:r>
      <w:r w:rsidR="00596C32" w:rsidRPr="00E7229C">
        <w:t>-</w:t>
      </w:r>
      <w:r w:rsidRPr="00E7229C">
        <w:t>Signs</w:t>
      </w:r>
      <w:r>
        <w:t xml:space="preserve"> which reinforces this good practice.   </w:t>
      </w:r>
    </w:p>
    <w:p w14:paraId="2F7390C5" w14:textId="01A6FD80" w:rsidR="00EB3C1C" w:rsidRDefault="00EB3C1C" w:rsidP="00EB3C1C">
      <w:pPr>
        <w:jc w:val="both"/>
      </w:pPr>
      <w:r>
        <w:t>In the autumn we will be running education events</w:t>
      </w:r>
      <w:r w:rsidR="00E7229C">
        <w:t xml:space="preserve"> in conjunction with SGPET</w:t>
      </w:r>
      <w:r>
        <w:t xml:space="preserve"> </w:t>
      </w:r>
      <w:r w:rsidR="00D51A99">
        <w:t>for</w:t>
      </w:r>
      <w:r>
        <w:t xml:space="preserve"> Gyn</w:t>
      </w:r>
      <w:r w:rsidR="00A258BA">
        <w:t>a</w:t>
      </w:r>
      <w:r>
        <w:t xml:space="preserve">ecological Cancers and will be offering training </w:t>
      </w:r>
      <w:r w:rsidR="00D51A99">
        <w:t>for b</w:t>
      </w:r>
      <w:r>
        <w:t xml:space="preserve">imanual and pelvic examination techniques, </w:t>
      </w:r>
      <w:r w:rsidR="00D51A99">
        <w:t>in the same way as we did for</w:t>
      </w:r>
      <w:r w:rsidR="00A258BA">
        <w:t xml:space="preserve"> the very well received </w:t>
      </w:r>
      <w:r w:rsidR="00D51A99">
        <w:t xml:space="preserve">digital rectal examination (DRE) </w:t>
      </w:r>
      <w:r w:rsidR="00A258BA">
        <w:t>training</w:t>
      </w:r>
      <w:r w:rsidR="00596C32">
        <w:t>,</w:t>
      </w:r>
      <w:r w:rsidR="00A258BA">
        <w:t xml:space="preserve"> </w:t>
      </w:r>
      <w:r w:rsidR="00D51A99">
        <w:t xml:space="preserve">which we provided for allied health professionals and GPs wishing to refresh their skills and knowledge across Somerset </w:t>
      </w:r>
      <w:r w:rsidR="00A258BA">
        <w:t>last year</w:t>
      </w:r>
      <w:r w:rsidR="00D51A99">
        <w:t>.</w:t>
      </w:r>
    </w:p>
    <w:p w14:paraId="3055C944" w14:textId="77777777" w:rsidR="00F307D4" w:rsidRDefault="00F307D4" w:rsidP="00EB3C1C">
      <w:pPr>
        <w:jc w:val="both"/>
      </w:pPr>
    </w:p>
    <w:p w14:paraId="1EA4EEB2" w14:textId="218A8AD1" w:rsidR="00F307D4" w:rsidRDefault="00F307D4" w:rsidP="00EB3C1C">
      <w:pPr>
        <w:jc w:val="both"/>
      </w:pPr>
    </w:p>
    <w:sectPr w:rsidR="00F307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660C2"/>
    <w:multiLevelType w:val="hybridMultilevel"/>
    <w:tmpl w:val="AD3420E4"/>
    <w:lvl w:ilvl="0" w:tplc="08090011">
      <w:start w:val="1"/>
      <w:numFmt w:val="decimal"/>
      <w:lvlText w:val="%1)"/>
      <w:lvlJc w:val="left"/>
      <w:pPr>
        <w:ind w:left="643"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6A3399"/>
    <w:multiLevelType w:val="hybridMultilevel"/>
    <w:tmpl w:val="5544915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371543"/>
    <w:multiLevelType w:val="hybridMultilevel"/>
    <w:tmpl w:val="AD3420E4"/>
    <w:lvl w:ilvl="0" w:tplc="FFFFFFFF">
      <w:start w:val="1"/>
      <w:numFmt w:val="decimal"/>
      <w:lvlText w:val="%1)"/>
      <w:lvlJc w:val="left"/>
      <w:pPr>
        <w:ind w:left="643"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1325FAC"/>
    <w:multiLevelType w:val="hybridMultilevel"/>
    <w:tmpl w:val="7C66E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3A2989"/>
    <w:multiLevelType w:val="hybridMultilevel"/>
    <w:tmpl w:val="3780A366"/>
    <w:lvl w:ilvl="0" w:tplc="DD92EC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E4154AF"/>
    <w:multiLevelType w:val="hybridMultilevel"/>
    <w:tmpl w:val="08564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057"/>
    <w:rsid w:val="000128DF"/>
    <w:rsid w:val="00062D91"/>
    <w:rsid w:val="0009529C"/>
    <w:rsid w:val="000D6C94"/>
    <w:rsid w:val="00122F07"/>
    <w:rsid w:val="00125C83"/>
    <w:rsid w:val="0014112F"/>
    <w:rsid w:val="00166CDC"/>
    <w:rsid w:val="00231104"/>
    <w:rsid w:val="002A3639"/>
    <w:rsid w:val="002D42A8"/>
    <w:rsid w:val="002E46D3"/>
    <w:rsid w:val="003332C1"/>
    <w:rsid w:val="00395110"/>
    <w:rsid w:val="00453057"/>
    <w:rsid w:val="00537D6D"/>
    <w:rsid w:val="00596C32"/>
    <w:rsid w:val="005C6F55"/>
    <w:rsid w:val="005D4935"/>
    <w:rsid w:val="005F77BF"/>
    <w:rsid w:val="00627F11"/>
    <w:rsid w:val="006412E4"/>
    <w:rsid w:val="00670185"/>
    <w:rsid w:val="006B76BF"/>
    <w:rsid w:val="006F3040"/>
    <w:rsid w:val="006F4CA2"/>
    <w:rsid w:val="00733D13"/>
    <w:rsid w:val="00747694"/>
    <w:rsid w:val="007D059E"/>
    <w:rsid w:val="007D671A"/>
    <w:rsid w:val="00851CAE"/>
    <w:rsid w:val="0088496A"/>
    <w:rsid w:val="008F6564"/>
    <w:rsid w:val="009154CC"/>
    <w:rsid w:val="0092503D"/>
    <w:rsid w:val="009640A2"/>
    <w:rsid w:val="009B368E"/>
    <w:rsid w:val="009B70A2"/>
    <w:rsid w:val="009E5899"/>
    <w:rsid w:val="00A10DB5"/>
    <w:rsid w:val="00A258BA"/>
    <w:rsid w:val="00AC10FC"/>
    <w:rsid w:val="00AD7745"/>
    <w:rsid w:val="00B209F5"/>
    <w:rsid w:val="00B2123F"/>
    <w:rsid w:val="00B548B1"/>
    <w:rsid w:val="00B96D58"/>
    <w:rsid w:val="00BB3F5A"/>
    <w:rsid w:val="00BF7F0A"/>
    <w:rsid w:val="00C07DEF"/>
    <w:rsid w:val="00CF38EB"/>
    <w:rsid w:val="00D33728"/>
    <w:rsid w:val="00D51A99"/>
    <w:rsid w:val="00D63BAD"/>
    <w:rsid w:val="00D71CE4"/>
    <w:rsid w:val="00D7775A"/>
    <w:rsid w:val="00D91960"/>
    <w:rsid w:val="00D92976"/>
    <w:rsid w:val="00DB35E8"/>
    <w:rsid w:val="00E109D8"/>
    <w:rsid w:val="00E64ABF"/>
    <w:rsid w:val="00E7229C"/>
    <w:rsid w:val="00E904B5"/>
    <w:rsid w:val="00EB3C1C"/>
    <w:rsid w:val="00F307D4"/>
    <w:rsid w:val="00F658C8"/>
    <w:rsid w:val="00F66C2C"/>
    <w:rsid w:val="00FB4211"/>
    <w:rsid w:val="00FD1790"/>
    <w:rsid w:val="00FF36B5"/>
    <w:rsid w:val="00FF7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53797"/>
  <w15:chartTrackingRefBased/>
  <w15:docId w15:val="{28DA8E74-F430-4B62-B48B-56CCB938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057"/>
    <w:pPr>
      <w:ind w:left="720"/>
      <w:contextualSpacing/>
    </w:pPr>
  </w:style>
  <w:style w:type="character" w:styleId="CommentReference">
    <w:name w:val="annotation reference"/>
    <w:basedOn w:val="DefaultParagraphFont"/>
    <w:uiPriority w:val="99"/>
    <w:semiHidden/>
    <w:unhideWhenUsed/>
    <w:rsid w:val="00596C32"/>
    <w:rPr>
      <w:sz w:val="16"/>
      <w:szCs w:val="16"/>
    </w:rPr>
  </w:style>
  <w:style w:type="paragraph" w:styleId="CommentText">
    <w:name w:val="annotation text"/>
    <w:basedOn w:val="Normal"/>
    <w:link w:val="CommentTextChar"/>
    <w:uiPriority w:val="99"/>
    <w:unhideWhenUsed/>
    <w:rsid w:val="00596C32"/>
    <w:pPr>
      <w:spacing w:line="240" w:lineRule="auto"/>
    </w:pPr>
    <w:rPr>
      <w:sz w:val="20"/>
      <w:szCs w:val="20"/>
    </w:rPr>
  </w:style>
  <w:style w:type="character" w:customStyle="1" w:styleId="CommentTextChar">
    <w:name w:val="Comment Text Char"/>
    <w:basedOn w:val="DefaultParagraphFont"/>
    <w:link w:val="CommentText"/>
    <w:uiPriority w:val="99"/>
    <w:rsid w:val="00596C32"/>
    <w:rPr>
      <w:sz w:val="20"/>
      <w:szCs w:val="20"/>
    </w:rPr>
  </w:style>
  <w:style w:type="paragraph" w:styleId="CommentSubject">
    <w:name w:val="annotation subject"/>
    <w:basedOn w:val="CommentText"/>
    <w:next w:val="CommentText"/>
    <w:link w:val="CommentSubjectChar"/>
    <w:uiPriority w:val="99"/>
    <w:semiHidden/>
    <w:unhideWhenUsed/>
    <w:rsid w:val="00596C32"/>
    <w:rPr>
      <w:b/>
      <w:bCs/>
    </w:rPr>
  </w:style>
  <w:style w:type="character" w:customStyle="1" w:styleId="CommentSubjectChar">
    <w:name w:val="Comment Subject Char"/>
    <w:basedOn w:val="CommentTextChar"/>
    <w:link w:val="CommentSubject"/>
    <w:uiPriority w:val="99"/>
    <w:semiHidden/>
    <w:rsid w:val="00596C32"/>
    <w:rPr>
      <w:b/>
      <w:bCs/>
      <w:sz w:val="20"/>
      <w:szCs w:val="20"/>
    </w:rPr>
  </w:style>
  <w:style w:type="table" w:styleId="TableGrid">
    <w:name w:val="Table Grid"/>
    <w:basedOn w:val="TableNormal"/>
    <w:uiPriority w:val="39"/>
    <w:rsid w:val="00884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37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7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9B49A.523468F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cid:image004.png@01D9B49A.523468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9B49A.523468F0" TargetMode="External"/><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image" Target="cid:image003.png@01D9B49A.523468F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BEATTIE, Angela (NHS SOMERSET ICB - 11X)</dc:creator>
  <cp:keywords/>
  <dc:description/>
  <cp:lastModifiedBy>Bojarska Joanna (Somerset Local Medical Committee)</cp:lastModifiedBy>
  <cp:revision>2</cp:revision>
  <dcterms:created xsi:type="dcterms:W3CDTF">2023-08-17T12:05:00Z</dcterms:created>
  <dcterms:modified xsi:type="dcterms:W3CDTF">2023-08-17T12:05:00Z</dcterms:modified>
</cp:coreProperties>
</file>