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732" w:rsidRDefault="00FC5732" w:rsidP="00FC5732">
      <w:pPr>
        <w:shd w:val="clear" w:color="auto" w:fill="FFFFFF"/>
        <w:spacing w:before="100" w:beforeAutospacing="1" w:after="100" w:afterAutospacing="1" w:line="240" w:lineRule="auto"/>
        <w:jc w:val="center"/>
        <w:outlineLvl w:val="0"/>
        <w:rPr>
          <w:rFonts w:ascii="Arial" w:eastAsia="Times New Roman" w:hAnsi="Arial" w:cs="Arial"/>
          <w:b/>
          <w:kern w:val="36"/>
          <w:sz w:val="24"/>
          <w:szCs w:val="24"/>
          <w:lang w:eastAsia="en-GB"/>
        </w:rPr>
      </w:pPr>
      <w:r w:rsidRPr="00FC5732">
        <w:rPr>
          <w:rFonts w:ascii="Arial" w:eastAsia="Times New Roman" w:hAnsi="Arial" w:cs="Arial"/>
          <w:b/>
          <w:kern w:val="36"/>
          <w:sz w:val="24"/>
          <w:szCs w:val="24"/>
          <w:lang w:eastAsia="en-GB"/>
        </w:rPr>
        <w:t xml:space="preserve">Removal of integrated </w:t>
      </w:r>
      <w:proofErr w:type="spellStart"/>
      <w:r w:rsidRPr="00FC5732">
        <w:rPr>
          <w:rFonts w:ascii="Arial" w:eastAsia="Times New Roman" w:hAnsi="Arial" w:cs="Arial"/>
          <w:b/>
          <w:kern w:val="36"/>
          <w:sz w:val="24"/>
          <w:szCs w:val="24"/>
          <w:lang w:eastAsia="en-GB"/>
        </w:rPr>
        <w:t>Qscores</w:t>
      </w:r>
      <w:proofErr w:type="spellEnd"/>
      <w:r w:rsidRPr="00FC5732">
        <w:rPr>
          <w:rFonts w:ascii="Arial" w:eastAsia="Times New Roman" w:hAnsi="Arial" w:cs="Arial"/>
          <w:b/>
          <w:kern w:val="36"/>
          <w:sz w:val="24"/>
          <w:szCs w:val="24"/>
          <w:lang w:eastAsia="en-GB"/>
        </w:rPr>
        <w:t xml:space="preserve"> in EMIS Web</w:t>
      </w:r>
    </w:p>
    <w:p w:rsidR="00FC5732" w:rsidRDefault="00FC5732" w:rsidP="00FC5732">
      <w:pPr>
        <w:shd w:val="clear" w:color="auto" w:fill="FFFFFF"/>
        <w:spacing w:before="100" w:beforeAutospacing="1" w:after="100" w:afterAutospacing="1" w:line="240" w:lineRule="auto"/>
        <w:jc w:val="center"/>
        <w:outlineLvl w:val="0"/>
        <w:rPr>
          <w:rFonts w:ascii="Arial" w:eastAsia="Times New Roman" w:hAnsi="Arial" w:cs="Arial"/>
          <w:b/>
          <w:kern w:val="36"/>
          <w:sz w:val="24"/>
          <w:szCs w:val="24"/>
          <w:lang w:eastAsia="en-GB"/>
        </w:rPr>
      </w:pPr>
      <w:r>
        <w:rPr>
          <w:rFonts w:ascii="Arial" w:eastAsia="Times New Roman" w:hAnsi="Arial" w:cs="Arial"/>
          <w:b/>
          <w:kern w:val="36"/>
          <w:sz w:val="24"/>
          <w:szCs w:val="24"/>
          <w:lang w:eastAsia="en-GB"/>
        </w:rPr>
        <w:t>Sourced from EMIS NOW</w:t>
      </w:r>
    </w:p>
    <w:p w:rsidR="00FC5732" w:rsidRPr="00FC5732" w:rsidRDefault="00FC5732" w:rsidP="00FC5732">
      <w:pPr>
        <w:pStyle w:val="Heading2"/>
        <w:shd w:val="clear" w:color="auto" w:fill="FFFFFF"/>
        <w:rPr>
          <w:rFonts w:asciiTheme="minorHAnsi" w:hAnsiTheme="minorHAnsi" w:cstheme="minorHAnsi"/>
          <w:color w:val="auto"/>
          <w:sz w:val="24"/>
          <w:szCs w:val="24"/>
        </w:rPr>
      </w:pPr>
      <w:r w:rsidRPr="00FC5732">
        <w:rPr>
          <w:rFonts w:asciiTheme="minorHAnsi" w:hAnsiTheme="minorHAnsi" w:cstheme="minorHAnsi"/>
          <w:b/>
          <w:bCs/>
          <w:color w:val="auto"/>
          <w:sz w:val="24"/>
          <w:szCs w:val="24"/>
        </w:rPr>
        <w:t>Background</w:t>
      </w:r>
    </w:p>
    <w:p w:rsidR="00FC5732" w:rsidRPr="00FC5732" w:rsidRDefault="00FC5732" w:rsidP="00FC5732">
      <w:pPr>
        <w:pStyle w:val="NormalWeb"/>
        <w:shd w:val="clear" w:color="auto" w:fill="FFFFFF"/>
        <w:rPr>
          <w:rFonts w:asciiTheme="minorHAnsi" w:hAnsiTheme="minorHAnsi" w:cstheme="minorHAnsi"/>
        </w:rPr>
      </w:pPr>
      <w:r w:rsidRPr="00FC5732">
        <w:rPr>
          <w:rFonts w:asciiTheme="minorHAnsi" w:hAnsiTheme="minorHAnsi" w:cstheme="minorHAnsi"/>
        </w:rPr>
        <w:t xml:space="preserve">The existing </w:t>
      </w:r>
      <w:proofErr w:type="spellStart"/>
      <w:r w:rsidRPr="00FC5732">
        <w:rPr>
          <w:rFonts w:asciiTheme="minorHAnsi" w:hAnsiTheme="minorHAnsi" w:cstheme="minorHAnsi"/>
        </w:rPr>
        <w:t>QScores</w:t>
      </w:r>
      <w:proofErr w:type="spellEnd"/>
      <w:r w:rsidRPr="00FC5732">
        <w:rPr>
          <w:rFonts w:asciiTheme="minorHAnsi" w:hAnsiTheme="minorHAnsi" w:cstheme="minorHAnsi"/>
        </w:rPr>
        <w:t xml:space="preserve"> integrated within EMIS Web are provided by software licensed from </w:t>
      </w:r>
      <w:proofErr w:type="spellStart"/>
      <w:r w:rsidRPr="00FC5732">
        <w:rPr>
          <w:rFonts w:asciiTheme="minorHAnsi" w:hAnsiTheme="minorHAnsi" w:cstheme="minorHAnsi"/>
        </w:rPr>
        <w:t>ClinRisk</w:t>
      </w:r>
      <w:proofErr w:type="spellEnd"/>
      <w:r w:rsidRPr="00FC5732">
        <w:rPr>
          <w:rFonts w:asciiTheme="minorHAnsi" w:hAnsiTheme="minorHAnsi" w:cstheme="minorHAnsi"/>
        </w:rPr>
        <w:t>. The Medicines and Healthcare products Regulatory Agency (MHRA) has confirmed that the integration of such complex algorithms into a clinical software system constitutes medical device software and all medical device software must be UKCA marked in accordance with the UK MDR 2002. </w:t>
      </w:r>
    </w:p>
    <w:p w:rsidR="00FC5732" w:rsidRPr="00FC5732" w:rsidRDefault="00FC5732" w:rsidP="00FC5732">
      <w:pPr>
        <w:pStyle w:val="NormalWeb"/>
        <w:shd w:val="clear" w:color="auto" w:fill="FFFFFF"/>
        <w:rPr>
          <w:rFonts w:asciiTheme="minorHAnsi" w:hAnsiTheme="minorHAnsi" w:cstheme="minorHAnsi"/>
        </w:rPr>
      </w:pPr>
      <w:r w:rsidRPr="00FC5732">
        <w:rPr>
          <w:rFonts w:asciiTheme="minorHAnsi" w:hAnsiTheme="minorHAnsi" w:cstheme="minorHAnsi"/>
        </w:rPr>
        <w:t xml:space="preserve">The existing </w:t>
      </w:r>
      <w:proofErr w:type="spellStart"/>
      <w:r w:rsidRPr="00FC5732">
        <w:rPr>
          <w:rFonts w:asciiTheme="minorHAnsi" w:hAnsiTheme="minorHAnsi" w:cstheme="minorHAnsi"/>
        </w:rPr>
        <w:t>Qscore</w:t>
      </w:r>
      <w:proofErr w:type="spellEnd"/>
      <w:r w:rsidRPr="00FC5732">
        <w:rPr>
          <w:rFonts w:asciiTheme="minorHAnsi" w:hAnsiTheme="minorHAnsi" w:cstheme="minorHAnsi"/>
        </w:rPr>
        <w:t xml:space="preserve"> software licensed from </w:t>
      </w:r>
      <w:proofErr w:type="spellStart"/>
      <w:r w:rsidRPr="00FC5732">
        <w:rPr>
          <w:rFonts w:asciiTheme="minorHAnsi" w:hAnsiTheme="minorHAnsi" w:cstheme="minorHAnsi"/>
        </w:rPr>
        <w:t>ClinRisk</w:t>
      </w:r>
      <w:proofErr w:type="spellEnd"/>
      <w:r w:rsidRPr="00FC5732">
        <w:rPr>
          <w:rFonts w:asciiTheme="minorHAnsi" w:hAnsiTheme="minorHAnsi" w:cstheme="minorHAnsi"/>
        </w:rPr>
        <w:t xml:space="preserve"> is not currently being maintained according to the MHRA regulations and is based and validated using Read codes, whilst EMIS and the NHS now use SNOMED-CT. This creates clinical and regulatory risk, including a small risk to patients of an inaccurate risk score as more SNOMED-CT codes are released by NHS Digital.</w:t>
      </w:r>
    </w:p>
    <w:p w:rsidR="00FC5732" w:rsidRPr="00FC5732" w:rsidRDefault="00FC5732" w:rsidP="00FC5732">
      <w:pPr>
        <w:pStyle w:val="NormalWeb"/>
        <w:shd w:val="clear" w:color="auto" w:fill="FFFFFF"/>
        <w:rPr>
          <w:rFonts w:asciiTheme="minorHAnsi" w:hAnsiTheme="minorHAnsi" w:cstheme="minorHAnsi"/>
          <w:color w:val="3A3F51"/>
        </w:rPr>
      </w:pPr>
      <w:r w:rsidRPr="00FC5732">
        <w:rPr>
          <w:rStyle w:val="Strong"/>
          <w:rFonts w:asciiTheme="minorHAnsi" w:hAnsiTheme="minorHAnsi" w:cstheme="minorHAnsi"/>
          <w:color w:val="3A3F51"/>
        </w:rPr>
        <w:t xml:space="preserve">We will therefore be removing the existing integrated </w:t>
      </w:r>
      <w:proofErr w:type="spellStart"/>
      <w:r w:rsidRPr="00FC5732">
        <w:rPr>
          <w:rStyle w:val="Strong"/>
          <w:rFonts w:asciiTheme="minorHAnsi" w:hAnsiTheme="minorHAnsi" w:cstheme="minorHAnsi"/>
          <w:color w:val="3A3F51"/>
        </w:rPr>
        <w:t>QScores</w:t>
      </w:r>
      <w:proofErr w:type="spellEnd"/>
      <w:r w:rsidRPr="00FC5732">
        <w:rPr>
          <w:rStyle w:val="Strong"/>
          <w:rFonts w:asciiTheme="minorHAnsi" w:hAnsiTheme="minorHAnsi" w:cstheme="minorHAnsi"/>
          <w:color w:val="3A3F51"/>
        </w:rPr>
        <w:t xml:space="preserve"> from EMIS Web on 1 April 2023.</w:t>
      </w:r>
      <w:r w:rsidRPr="00FC5732">
        <w:rPr>
          <w:rFonts w:asciiTheme="minorHAnsi" w:hAnsiTheme="minorHAnsi" w:cstheme="minorHAnsi"/>
          <w:color w:val="3A3F51"/>
        </w:rPr>
        <w:t>  </w:t>
      </w:r>
    </w:p>
    <w:p w:rsidR="00FC5732" w:rsidRPr="00FC5732" w:rsidRDefault="00FC5732" w:rsidP="00FC5732">
      <w:pPr>
        <w:pStyle w:val="NormalWeb"/>
        <w:shd w:val="clear" w:color="auto" w:fill="FFFFFF"/>
        <w:rPr>
          <w:rFonts w:asciiTheme="minorHAnsi" w:hAnsiTheme="minorHAnsi" w:cstheme="minorHAnsi"/>
          <w:color w:val="3A3F51"/>
        </w:rPr>
      </w:pPr>
      <w:r w:rsidRPr="00FC5732">
        <w:rPr>
          <w:rStyle w:val="Strong"/>
          <w:rFonts w:asciiTheme="minorHAnsi" w:hAnsiTheme="minorHAnsi" w:cstheme="minorHAnsi"/>
          <w:color w:val="3A3F51"/>
        </w:rPr>
        <w:t>From December 2022</w:t>
      </w:r>
      <w:r w:rsidRPr="00FC5732">
        <w:rPr>
          <w:rFonts w:asciiTheme="minorHAnsi" w:hAnsiTheme="minorHAnsi" w:cstheme="minorHAnsi"/>
          <w:color w:val="3A3F51"/>
        </w:rPr>
        <w:t xml:space="preserve">, in preparation for the removal, we will begin deploying an EMIS Web release (version number and date to be confirmed), which will prevent any new locally authored content, such as templates or protocols, containing </w:t>
      </w:r>
      <w:proofErr w:type="spellStart"/>
      <w:r w:rsidRPr="00FC5732">
        <w:rPr>
          <w:rFonts w:asciiTheme="minorHAnsi" w:hAnsiTheme="minorHAnsi" w:cstheme="minorHAnsi"/>
          <w:color w:val="3A3F51"/>
        </w:rPr>
        <w:t>QScores</w:t>
      </w:r>
      <w:proofErr w:type="spellEnd"/>
      <w:r w:rsidRPr="00FC5732">
        <w:rPr>
          <w:rFonts w:asciiTheme="minorHAnsi" w:hAnsiTheme="minorHAnsi" w:cstheme="minorHAnsi"/>
          <w:color w:val="3A3F51"/>
        </w:rPr>
        <w:t xml:space="preserve"> from being created. It will also introduce reminder warnings when running or editing existing templates containing the </w:t>
      </w:r>
      <w:proofErr w:type="spellStart"/>
      <w:r w:rsidRPr="00FC5732">
        <w:rPr>
          <w:rFonts w:asciiTheme="minorHAnsi" w:hAnsiTheme="minorHAnsi" w:cstheme="minorHAnsi"/>
          <w:color w:val="3A3F51"/>
        </w:rPr>
        <w:t>QScores</w:t>
      </w:r>
      <w:proofErr w:type="spellEnd"/>
      <w:r w:rsidRPr="00FC5732">
        <w:rPr>
          <w:rFonts w:asciiTheme="minorHAnsi" w:hAnsiTheme="minorHAnsi" w:cstheme="minorHAnsi"/>
          <w:color w:val="3A3F51"/>
        </w:rPr>
        <w:t>. </w:t>
      </w:r>
    </w:p>
    <w:p w:rsidR="00FC5732" w:rsidRPr="00FC5732" w:rsidRDefault="00FC5732" w:rsidP="00FC5732">
      <w:pPr>
        <w:pStyle w:val="NormalWeb"/>
        <w:shd w:val="clear" w:color="auto" w:fill="FFFFFF"/>
        <w:rPr>
          <w:rFonts w:asciiTheme="minorHAnsi" w:hAnsiTheme="minorHAnsi" w:cstheme="minorHAnsi"/>
          <w:color w:val="3A3F51"/>
        </w:rPr>
      </w:pPr>
      <w:r w:rsidRPr="00FC5732">
        <w:rPr>
          <w:rStyle w:val="Strong"/>
          <w:rFonts w:asciiTheme="minorHAnsi" w:hAnsiTheme="minorHAnsi" w:cstheme="minorHAnsi"/>
          <w:color w:val="3A3F51"/>
        </w:rPr>
        <w:t>From April 2023</w:t>
      </w:r>
      <w:r w:rsidRPr="00FC5732">
        <w:rPr>
          <w:rFonts w:asciiTheme="minorHAnsi" w:hAnsiTheme="minorHAnsi" w:cstheme="minorHAnsi"/>
          <w:color w:val="3A3F51"/>
        </w:rPr>
        <w:t xml:space="preserve">, integrated </w:t>
      </w:r>
      <w:proofErr w:type="spellStart"/>
      <w:r w:rsidRPr="00FC5732">
        <w:rPr>
          <w:rFonts w:asciiTheme="minorHAnsi" w:hAnsiTheme="minorHAnsi" w:cstheme="minorHAnsi"/>
          <w:color w:val="3A3F51"/>
        </w:rPr>
        <w:t>QSCore</w:t>
      </w:r>
      <w:proofErr w:type="spellEnd"/>
      <w:r w:rsidRPr="00FC5732">
        <w:rPr>
          <w:rFonts w:asciiTheme="minorHAnsi" w:hAnsiTheme="minorHAnsi" w:cstheme="minorHAnsi"/>
          <w:color w:val="3A3F51"/>
        </w:rPr>
        <w:t xml:space="preserve"> calculations will no longer be available in EMIS Web. We will be redirecting all users of templates (both EMIS and locally authored) to the relevant </w:t>
      </w:r>
      <w:proofErr w:type="spellStart"/>
      <w:r w:rsidRPr="00FC5732">
        <w:rPr>
          <w:rFonts w:asciiTheme="minorHAnsi" w:hAnsiTheme="minorHAnsi" w:cstheme="minorHAnsi"/>
          <w:color w:val="3A3F51"/>
        </w:rPr>
        <w:t>ClinRisk</w:t>
      </w:r>
      <w:proofErr w:type="spellEnd"/>
      <w:r w:rsidRPr="00FC5732">
        <w:rPr>
          <w:rFonts w:asciiTheme="minorHAnsi" w:hAnsiTheme="minorHAnsi" w:cstheme="minorHAnsi"/>
          <w:color w:val="3A3F51"/>
        </w:rPr>
        <w:t xml:space="preserve"> website, where they can calculate the risk score for the patient as appropriate. </w:t>
      </w:r>
    </w:p>
    <w:p w:rsidR="00FC5732" w:rsidRPr="00FC5732" w:rsidRDefault="00FC5732" w:rsidP="00FC5732">
      <w:pPr>
        <w:pStyle w:val="hot-marker"/>
        <w:shd w:val="clear" w:color="auto" w:fill="FFFFFF"/>
        <w:rPr>
          <w:rFonts w:asciiTheme="minorHAnsi" w:hAnsiTheme="minorHAnsi" w:cstheme="minorHAnsi"/>
          <w:color w:val="3A3F51"/>
        </w:rPr>
      </w:pPr>
      <w:r w:rsidRPr="00FC5732">
        <w:rPr>
          <w:rFonts w:asciiTheme="minorHAnsi" w:hAnsiTheme="minorHAnsi" w:cstheme="minorHAnsi"/>
          <w:color w:val="3A3F51"/>
        </w:rPr>
        <w:t>Historic score calculations will still be visible in the Care Record. The ‘Calculate’ button to create new scores will not be available. We recommend that you routinely review any locally authored content to ensure it’s still clinically appropriate and fit for purpose. </w:t>
      </w:r>
    </w:p>
    <w:p w:rsidR="00FC5732" w:rsidRPr="00FC5732" w:rsidRDefault="00FC5732" w:rsidP="00FC5732">
      <w:pPr>
        <w:pStyle w:val="Heading2"/>
        <w:shd w:val="clear" w:color="auto" w:fill="FFFFFF"/>
        <w:rPr>
          <w:rFonts w:asciiTheme="minorHAnsi" w:hAnsiTheme="minorHAnsi" w:cstheme="minorHAnsi"/>
          <w:color w:val="3A3F51"/>
          <w:sz w:val="24"/>
          <w:szCs w:val="24"/>
        </w:rPr>
      </w:pPr>
      <w:r w:rsidRPr="00FC5732">
        <w:rPr>
          <w:rFonts w:asciiTheme="minorHAnsi" w:hAnsiTheme="minorHAnsi" w:cstheme="minorHAnsi"/>
          <w:b/>
          <w:bCs/>
          <w:color w:val="3A3F51"/>
          <w:sz w:val="24"/>
          <w:szCs w:val="24"/>
        </w:rPr>
        <w:t>Exploration of alternatives </w:t>
      </w:r>
    </w:p>
    <w:p w:rsidR="00FC5732" w:rsidRPr="00FC5732" w:rsidRDefault="00FC5732" w:rsidP="00FC5732">
      <w:pPr>
        <w:pStyle w:val="NormalWeb"/>
        <w:shd w:val="clear" w:color="auto" w:fill="FFFFFF"/>
        <w:rPr>
          <w:rFonts w:asciiTheme="minorHAnsi" w:hAnsiTheme="minorHAnsi" w:cstheme="minorHAnsi"/>
          <w:color w:val="3A3F51"/>
        </w:rPr>
      </w:pPr>
      <w:r w:rsidRPr="00FC5732">
        <w:rPr>
          <w:rFonts w:asciiTheme="minorHAnsi" w:hAnsiTheme="minorHAnsi" w:cstheme="minorHAnsi"/>
          <w:color w:val="3A3F51"/>
        </w:rPr>
        <w:t xml:space="preserve">This decision has not been taken lightly and it has been discussed and agreed at the EMIS clinical board. We understand that integrated </w:t>
      </w:r>
      <w:proofErr w:type="spellStart"/>
      <w:r w:rsidRPr="00FC5732">
        <w:rPr>
          <w:rFonts w:asciiTheme="minorHAnsi" w:hAnsiTheme="minorHAnsi" w:cstheme="minorHAnsi"/>
          <w:color w:val="3A3F51"/>
        </w:rPr>
        <w:t>QScores</w:t>
      </w:r>
      <w:proofErr w:type="spellEnd"/>
      <w:r w:rsidRPr="00FC5732">
        <w:rPr>
          <w:rFonts w:asciiTheme="minorHAnsi" w:hAnsiTheme="minorHAnsi" w:cstheme="minorHAnsi"/>
          <w:color w:val="3A3F51"/>
        </w:rPr>
        <w:t xml:space="preserve"> are a widely used feature of EMIS Web, and we are in discussions with the authors of the existing tools and NHS Digital regarding how best to continue to provide our users with integrated tools which are SNOMED-compatible, clinically effective and compliant with relevant MHRA regulations. </w:t>
      </w:r>
    </w:p>
    <w:p w:rsidR="00FC5732" w:rsidRPr="00FC5732" w:rsidRDefault="00FC5732" w:rsidP="00FC5732">
      <w:pPr>
        <w:pStyle w:val="NormalWeb"/>
        <w:shd w:val="clear" w:color="auto" w:fill="FFFFFF"/>
        <w:rPr>
          <w:rFonts w:asciiTheme="minorHAnsi" w:hAnsiTheme="minorHAnsi" w:cstheme="minorHAnsi"/>
          <w:color w:val="3A3F51"/>
        </w:rPr>
      </w:pPr>
      <w:r w:rsidRPr="00FC5732">
        <w:rPr>
          <w:rFonts w:asciiTheme="minorHAnsi" w:hAnsiTheme="minorHAnsi" w:cstheme="minorHAnsi"/>
          <w:color w:val="3A3F51"/>
        </w:rPr>
        <w:t>We will keep customers updated with any developments, as well as providing further updates on any changes within EMIS Web. We will also keep this article up to date with the latest information. </w:t>
      </w:r>
    </w:p>
    <w:p w:rsidR="00FC5732" w:rsidRDefault="00FC5732" w:rsidP="00FC5732">
      <w:pPr>
        <w:pStyle w:val="Heading1"/>
        <w:shd w:val="clear" w:color="auto" w:fill="FFFFFF"/>
        <w:rPr>
          <w:rFonts w:asciiTheme="minorHAnsi" w:hAnsiTheme="minorHAnsi" w:cstheme="minorHAnsi"/>
          <w:bCs w:val="0"/>
          <w:sz w:val="24"/>
          <w:szCs w:val="24"/>
        </w:rPr>
      </w:pPr>
      <w:r w:rsidRPr="00FC5732">
        <w:rPr>
          <w:rFonts w:asciiTheme="minorHAnsi" w:hAnsiTheme="minorHAnsi" w:cstheme="minorHAnsi"/>
          <w:bCs w:val="0"/>
          <w:sz w:val="24"/>
          <w:szCs w:val="24"/>
        </w:rPr>
        <w:lastRenderedPageBreak/>
        <w:t>Clinical calculators overview</w:t>
      </w:r>
    </w:p>
    <w:p w:rsidR="00FC5732" w:rsidRPr="00FC5732" w:rsidRDefault="00FC5732" w:rsidP="00FC5732">
      <w:pPr>
        <w:pStyle w:val="hot-marker"/>
        <w:rPr>
          <w:rFonts w:asciiTheme="minorHAnsi" w:hAnsiTheme="minorHAnsi" w:cstheme="minorHAnsi"/>
        </w:rPr>
      </w:pPr>
      <w:r w:rsidRPr="00FC5732">
        <w:rPr>
          <w:rFonts w:asciiTheme="minorHAnsi" w:hAnsiTheme="minorHAnsi" w:cstheme="minorHAnsi"/>
        </w:rPr>
        <w:t xml:space="preserve">All </w:t>
      </w:r>
      <w:proofErr w:type="spellStart"/>
      <w:r w:rsidRPr="00FC5732">
        <w:rPr>
          <w:rFonts w:asciiTheme="minorHAnsi" w:hAnsiTheme="minorHAnsi" w:cstheme="minorHAnsi"/>
        </w:rPr>
        <w:t>ClinRisk</w:t>
      </w:r>
      <w:proofErr w:type="spellEnd"/>
      <w:r w:rsidRPr="00FC5732">
        <w:rPr>
          <w:rFonts w:asciiTheme="minorHAnsi" w:hAnsiTheme="minorHAnsi" w:cstheme="minorHAnsi"/>
        </w:rPr>
        <w:t xml:space="preserve"> </w:t>
      </w:r>
      <w:proofErr w:type="spellStart"/>
      <w:r w:rsidRPr="00FC5732">
        <w:rPr>
          <w:rFonts w:asciiTheme="minorHAnsi" w:hAnsiTheme="minorHAnsi" w:cstheme="minorHAnsi"/>
        </w:rPr>
        <w:t>QTools</w:t>
      </w:r>
      <w:proofErr w:type="spellEnd"/>
      <w:r w:rsidRPr="00FC5732">
        <w:rPr>
          <w:rFonts w:asciiTheme="minorHAnsi" w:hAnsiTheme="minorHAnsi" w:cstheme="minorHAnsi"/>
        </w:rPr>
        <w:t xml:space="preserve"> will no longer be supported after 31 March 2023. Any clinical templates that use a Q score will still run, but the risk score will not be calculated. When creating any new clinical templates, the option to add a Q calculation has been removed from template builder. </w:t>
      </w:r>
      <w:bookmarkStart w:id="0" w:name="_GoBack"/>
      <w:bookmarkEnd w:id="0"/>
    </w:p>
    <w:p w:rsidR="00FC5732" w:rsidRPr="00FC5732" w:rsidRDefault="00FC5732" w:rsidP="00FC5732">
      <w:pPr>
        <w:pStyle w:val="NormalWeb"/>
        <w:shd w:val="clear" w:color="auto" w:fill="FFFFFF"/>
        <w:spacing w:beforeAutospacing="0" w:afterAutospacing="0"/>
        <w:rPr>
          <w:rFonts w:asciiTheme="minorHAnsi" w:hAnsiTheme="minorHAnsi" w:cstheme="minorHAnsi"/>
        </w:rPr>
      </w:pPr>
      <w:r w:rsidRPr="00FC5732">
        <w:rPr>
          <w:rFonts w:asciiTheme="minorHAnsi" w:hAnsiTheme="minorHAnsi" w:cstheme="minorHAnsi"/>
          <w:color w:val="000000"/>
        </w:rPr>
        <w:t>There are a number of validated clinical calculators integrated with EMIS Web. These clinical calculators provide a risk score for a patient developing or suffering a specific condition over a period of time. You can use these calculators to help identify at risk patients and recall these patients for further assessment or treatment.</w:t>
      </w:r>
    </w:p>
    <w:p w:rsidR="00FC5732" w:rsidRPr="00FC5732" w:rsidRDefault="00FC5732" w:rsidP="00FC5732">
      <w:pPr>
        <w:pStyle w:val="NormalWeb"/>
        <w:shd w:val="clear" w:color="auto" w:fill="FFFFFF"/>
        <w:spacing w:beforeAutospacing="0" w:afterAutospacing="0"/>
        <w:rPr>
          <w:rFonts w:asciiTheme="minorHAnsi" w:hAnsiTheme="minorHAnsi" w:cstheme="minorHAnsi"/>
        </w:rPr>
      </w:pPr>
      <w:r w:rsidRPr="00FC5732">
        <w:rPr>
          <w:rFonts w:asciiTheme="minorHAnsi" w:hAnsiTheme="minorHAnsi" w:cstheme="minorHAnsi"/>
          <w:color w:val="000000"/>
        </w:rPr>
        <w:t>The calculators can either be batch added to multiple patients at a time or inserted into your own clinical templates to use on an individual patient basis.</w:t>
      </w:r>
    </w:p>
    <w:p w:rsidR="00FC5732" w:rsidRPr="00FC5732" w:rsidRDefault="00FC5732" w:rsidP="00FC5732">
      <w:pPr>
        <w:pStyle w:val="NormalWeb"/>
        <w:shd w:val="clear" w:color="auto" w:fill="FFFFFF"/>
        <w:spacing w:beforeAutospacing="0" w:afterAutospacing="0"/>
        <w:rPr>
          <w:rFonts w:asciiTheme="minorHAnsi" w:hAnsiTheme="minorHAnsi" w:cstheme="minorHAnsi"/>
        </w:rPr>
      </w:pPr>
      <w:r w:rsidRPr="00FC5732">
        <w:rPr>
          <w:rFonts w:asciiTheme="minorHAnsi" w:hAnsiTheme="minorHAnsi" w:cstheme="minorHAnsi"/>
          <w:color w:val="000000"/>
        </w:rPr>
        <w:t>EMIS clinical calculators are qualified as 'software as a medical device' (</w:t>
      </w:r>
      <w:proofErr w:type="spellStart"/>
      <w:r w:rsidRPr="00FC5732">
        <w:rPr>
          <w:rFonts w:asciiTheme="minorHAnsi" w:hAnsiTheme="minorHAnsi" w:cstheme="minorHAnsi"/>
          <w:color w:val="000000"/>
        </w:rPr>
        <w:t>SaMD</w:t>
      </w:r>
      <w:proofErr w:type="spellEnd"/>
      <w:r w:rsidRPr="00FC5732">
        <w:rPr>
          <w:rFonts w:asciiTheme="minorHAnsi" w:hAnsiTheme="minorHAnsi" w:cstheme="minorHAnsi"/>
          <w:color w:val="000000"/>
        </w:rPr>
        <w:t>) and are CE Marked. </w:t>
      </w:r>
    </w:p>
    <w:tbl>
      <w:tblPr>
        <w:tblStyle w:val="TableGrid"/>
        <w:tblW w:w="9016" w:type="dxa"/>
        <w:tblInd w:w="-5" w:type="dxa"/>
        <w:tblLook w:val="04A0" w:firstRow="1" w:lastRow="0" w:firstColumn="1" w:lastColumn="0" w:noHBand="0" w:noVBand="1"/>
      </w:tblPr>
      <w:tblGrid>
        <w:gridCol w:w="4508"/>
        <w:gridCol w:w="4508"/>
      </w:tblGrid>
      <w:tr w:rsidR="00FC5732" w:rsidRPr="00B30B5D" w:rsidTr="00FC5732">
        <w:tc>
          <w:tcPr>
            <w:tcW w:w="4508" w:type="dxa"/>
            <w:vAlign w:val="center"/>
          </w:tcPr>
          <w:p w:rsidR="00FC5732" w:rsidRPr="00B30B5D" w:rsidRDefault="00FC5732" w:rsidP="00D44A31">
            <w:pPr>
              <w:spacing w:before="100" w:beforeAutospacing="1" w:after="100" w:afterAutospacing="1"/>
              <w:rPr>
                <w:rFonts w:ascii="Helvetica" w:eastAsia="Times New Roman" w:hAnsi="Helvetica" w:cs="Segoe UI"/>
                <w:color w:val="3A3F51"/>
                <w:sz w:val="21"/>
                <w:szCs w:val="21"/>
                <w:lang w:eastAsia="en-GB"/>
              </w:rPr>
            </w:pPr>
            <w:r w:rsidRPr="00B30B5D">
              <w:rPr>
                <w:rFonts w:ascii="Helvetica" w:eastAsia="Times New Roman" w:hAnsi="Helvetica" w:cs="Segoe UI"/>
                <w:b/>
                <w:bCs/>
                <w:color w:val="000000"/>
                <w:sz w:val="21"/>
                <w:szCs w:val="21"/>
                <w:lang w:eastAsia="en-GB"/>
              </w:rPr>
              <w:t>Calculator name</w:t>
            </w:r>
          </w:p>
        </w:tc>
        <w:tc>
          <w:tcPr>
            <w:tcW w:w="4508" w:type="dxa"/>
            <w:vAlign w:val="center"/>
          </w:tcPr>
          <w:p w:rsidR="00FC5732" w:rsidRPr="00B30B5D" w:rsidRDefault="00FC5732" w:rsidP="00D44A31">
            <w:pPr>
              <w:rPr>
                <w:rFonts w:ascii="Helvetica" w:eastAsia="Times New Roman" w:hAnsi="Helvetica" w:cs="Segoe UI"/>
                <w:color w:val="3A3F51"/>
                <w:sz w:val="21"/>
                <w:szCs w:val="21"/>
                <w:lang w:eastAsia="en-GB"/>
              </w:rPr>
            </w:pPr>
            <w:r w:rsidRPr="00B30B5D">
              <w:rPr>
                <w:rFonts w:ascii="Helvetica" w:eastAsia="Times New Roman" w:hAnsi="Helvetica" w:cs="Segoe UI"/>
                <w:b/>
                <w:bCs/>
                <w:color w:val="000000"/>
                <w:sz w:val="21"/>
                <w:szCs w:val="21"/>
                <w:lang w:eastAsia="en-GB"/>
              </w:rPr>
              <w:t>Calculates the risk of:</w:t>
            </w:r>
          </w:p>
        </w:tc>
      </w:tr>
      <w:tr w:rsidR="00FC5732" w:rsidRPr="00B30B5D" w:rsidTr="00FC5732">
        <w:tc>
          <w:tcPr>
            <w:tcW w:w="4508" w:type="dxa"/>
            <w:vAlign w:val="center"/>
          </w:tcPr>
          <w:p w:rsidR="00FC5732" w:rsidRPr="00B30B5D" w:rsidRDefault="00FC5732" w:rsidP="00D44A31">
            <w:pPr>
              <w:rPr>
                <w:rFonts w:ascii="Helvetica" w:eastAsia="Times New Roman" w:hAnsi="Helvetica" w:cs="Segoe UI"/>
                <w:color w:val="3A3F51"/>
                <w:sz w:val="21"/>
                <w:szCs w:val="21"/>
                <w:lang w:eastAsia="en-GB"/>
              </w:rPr>
            </w:pPr>
            <w:hyperlink r:id="rId4" w:tooltip="QRISK2®-2017 calculator" w:history="1">
              <w:r w:rsidRPr="00B30B5D">
                <w:rPr>
                  <w:rFonts w:ascii="Helvetica" w:eastAsia="Times New Roman" w:hAnsi="Helvetica" w:cs="Segoe UI"/>
                  <w:color w:val="000000"/>
                  <w:sz w:val="21"/>
                  <w:szCs w:val="21"/>
                  <w:u w:val="single"/>
                  <w:lang w:eastAsia="en-GB"/>
                </w:rPr>
                <w:t>QRISK2®-2017 calculator</w:t>
              </w:r>
            </w:hyperlink>
          </w:p>
        </w:tc>
        <w:tc>
          <w:tcPr>
            <w:tcW w:w="4508" w:type="dxa"/>
            <w:vAlign w:val="center"/>
          </w:tcPr>
          <w:p w:rsidR="00FC5732" w:rsidRPr="00B30B5D" w:rsidRDefault="00FC5732" w:rsidP="00D44A31">
            <w:pPr>
              <w:rPr>
                <w:rFonts w:ascii="Helvetica" w:eastAsia="Times New Roman" w:hAnsi="Helvetica" w:cs="Segoe UI"/>
                <w:color w:val="3A3F51"/>
                <w:sz w:val="21"/>
                <w:szCs w:val="21"/>
                <w:lang w:eastAsia="en-GB"/>
              </w:rPr>
            </w:pPr>
            <w:r w:rsidRPr="00B30B5D">
              <w:rPr>
                <w:rFonts w:ascii="Helvetica" w:eastAsia="Times New Roman" w:hAnsi="Helvetica" w:cs="Segoe UI"/>
                <w:color w:val="000000"/>
                <w:sz w:val="21"/>
                <w:szCs w:val="21"/>
                <w:lang w:eastAsia="en-GB"/>
              </w:rPr>
              <w:t>Developing cardiovascular disease in the next 10 years.</w:t>
            </w:r>
          </w:p>
        </w:tc>
      </w:tr>
      <w:tr w:rsidR="00FC5732" w:rsidRPr="00B30B5D" w:rsidTr="00FC5732">
        <w:tc>
          <w:tcPr>
            <w:tcW w:w="4508" w:type="dxa"/>
            <w:vAlign w:val="center"/>
          </w:tcPr>
          <w:p w:rsidR="00FC5732" w:rsidRPr="00B30B5D" w:rsidRDefault="00FC5732" w:rsidP="00D44A31">
            <w:pPr>
              <w:rPr>
                <w:rFonts w:ascii="Helvetica" w:eastAsia="Times New Roman" w:hAnsi="Helvetica" w:cs="Segoe UI"/>
                <w:color w:val="3A3F51"/>
                <w:sz w:val="21"/>
                <w:szCs w:val="21"/>
                <w:lang w:eastAsia="en-GB"/>
              </w:rPr>
            </w:pPr>
            <w:hyperlink r:id="rId5" w:tooltip="QFracture®-2017 calculator" w:history="1">
              <w:proofErr w:type="spellStart"/>
              <w:r w:rsidRPr="00B30B5D">
                <w:rPr>
                  <w:rFonts w:ascii="Helvetica" w:eastAsia="Times New Roman" w:hAnsi="Helvetica" w:cs="Segoe UI"/>
                  <w:color w:val="000000"/>
                  <w:sz w:val="21"/>
                  <w:szCs w:val="21"/>
                  <w:u w:val="single"/>
                  <w:lang w:eastAsia="en-GB"/>
                </w:rPr>
                <w:t>QFracture</w:t>
              </w:r>
              <w:proofErr w:type="spellEnd"/>
              <w:r w:rsidRPr="00B30B5D">
                <w:rPr>
                  <w:rFonts w:ascii="Helvetica" w:eastAsia="Times New Roman" w:hAnsi="Helvetica" w:cs="Segoe UI"/>
                  <w:color w:val="000000"/>
                  <w:sz w:val="21"/>
                  <w:szCs w:val="21"/>
                  <w:u w:val="single"/>
                  <w:lang w:eastAsia="en-GB"/>
                </w:rPr>
                <w:t>®-2017 calculator</w:t>
              </w:r>
            </w:hyperlink>
          </w:p>
        </w:tc>
        <w:tc>
          <w:tcPr>
            <w:tcW w:w="4508" w:type="dxa"/>
            <w:vAlign w:val="center"/>
          </w:tcPr>
          <w:p w:rsidR="00FC5732" w:rsidRPr="00B30B5D" w:rsidRDefault="00FC5732" w:rsidP="00D44A31">
            <w:pPr>
              <w:rPr>
                <w:rFonts w:ascii="Helvetica" w:eastAsia="Times New Roman" w:hAnsi="Helvetica" w:cs="Segoe UI"/>
                <w:color w:val="3A3F51"/>
                <w:sz w:val="21"/>
                <w:szCs w:val="21"/>
                <w:lang w:eastAsia="en-GB"/>
              </w:rPr>
            </w:pPr>
            <w:r w:rsidRPr="00B30B5D">
              <w:rPr>
                <w:rFonts w:ascii="Helvetica" w:eastAsia="Times New Roman" w:hAnsi="Helvetica" w:cs="Segoe UI"/>
                <w:color w:val="000000"/>
                <w:sz w:val="21"/>
                <w:szCs w:val="21"/>
                <w:lang w:eastAsia="en-GB"/>
              </w:rPr>
              <w:t>Developing an osteoporotic fracture in the next 10 years.</w:t>
            </w:r>
          </w:p>
        </w:tc>
      </w:tr>
      <w:tr w:rsidR="00FC5732" w:rsidRPr="00B30B5D" w:rsidTr="00FC5732">
        <w:tc>
          <w:tcPr>
            <w:tcW w:w="4508" w:type="dxa"/>
            <w:vAlign w:val="center"/>
          </w:tcPr>
          <w:p w:rsidR="00FC5732" w:rsidRPr="00B30B5D" w:rsidRDefault="00FC5732" w:rsidP="00D44A31">
            <w:pPr>
              <w:rPr>
                <w:rFonts w:ascii="Helvetica" w:eastAsia="Times New Roman" w:hAnsi="Helvetica" w:cs="Segoe UI"/>
                <w:color w:val="3A3F51"/>
                <w:sz w:val="21"/>
                <w:szCs w:val="21"/>
                <w:lang w:eastAsia="en-GB"/>
              </w:rPr>
            </w:pPr>
            <w:hyperlink r:id="rId6" w:tooltip="QDiabetes®-2017 calculator" w:history="1">
              <w:proofErr w:type="spellStart"/>
              <w:r w:rsidRPr="00B30B5D">
                <w:rPr>
                  <w:rFonts w:ascii="Helvetica" w:eastAsia="Times New Roman" w:hAnsi="Helvetica" w:cs="Segoe UI"/>
                  <w:color w:val="000000"/>
                  <w:sz w:val="21"/>
                  <w:szCs w:val="21"/>
                  <w:u w:val="single"/>
                  <w:lang w:eastAsia="en-GB"/>
                </w:rPr>
                <w:t>QDiabetes</w:t>
              </w:r>
              <w:proofErr w:type="spellEnd"/>
              <w:r w:rsidRPr="00B30B5D">
                <w:rPr>
                  <w:rFonts w:ascii="Helvetica" w:eastAsia="Times New Roman" w:hAnsi="Helvetica" w:cs="Segoe UI"/>
                  <w:color w:val="000000"/>
                  <w:sz w:val="21"/>
                  <w:szCs w:val="21"/>
                  <w:u w:val="single"/>
                  <w:lang w:eastAsia="en-GB"/>
                </w:rPr>
                <w:t>®-2017 calculator</w:t>
              </w:r>
            </w:hyperlink>
          </w:p>
        </w:tc>
        <w:tc>
          <w:tcPr>
            <w:tcW w:w="4508" w:type="dxa"/>
            <w:vAlign w:val="center"/>
          </w:tcPr>
          <w:p w:rsidR="00FC5732" w:rsidRPr="00B30B5D" w:rsidRDefault="00FC5732" w:rsidP="00D44A31">
            <w:pPr>
              <w:rPr>
                <w:rFonts w:ascii="Helvetica" w:eastAsia="Times New Roman" w:hAnsi="Helvetica" w:cs="Segoe UI"/>
                <w:color w:val="3A3F51"/>
                <w:sz w:val="21"/>
                <w:szCs w:val="21"/>
                <w:lang w:eastAsia="en-GB"/>
              </w:rPr>
            </w:pPr>
            <w:r w:rsidRPr="00B30B5D">
              <w:rPr>
                <w:rFonts w:ascii="Helvetica" w:eastAsia="Times New Roman" w:hAnsi="Helvetica" w:cs="Segoe UI"/>
                <w:color w:val="000000"/>
                <w:sz w:val="21"/>
                <w:szCs w:val="21"/>
                <w:lang w:eastAsia="en-GB"/>
              </w:rPr>
              <w:t>Developing type 2 diabetes in the next 10 years.</w:t>
            </w:r>
          </w:p>
        </w:tc>
      </w:tr>
      <w:tr w:rsidR="00FC5732" w:rsidRPr="00B30B5D" w:rsidTr="00FC5732">
        <w:tc>
          <w:tcPr>
            <w:tcW w:w="4508" w:type="dxa"/>
            <w:vAlign w:val="center"/>
          </w:tcPr>
          <w:p w:rsidR="00FC5732" w:rsidRPr="00B30B5D" w:rsidRDefault="00FC5732" w:rsidP="00D44A31">
            <w:pPr>
              <w:rPr>
                <w:rFonts w:ascii="Helvetica" w:eastAsia="Times New Roman" w:hAnsi="Helvetica" w:cs="Segoe UI"/>
                <w:color w:val="3A3F51"/>
                <w:sz w:val="21"/>
                <w:szCs w:val="21"/>
                <w:lang w:eastAsia="en-GB"/>
              </w:rPr>
            </w:pPr>
            <w:hyperlink r:id="rId7" w:tooltip="QStroke®-2017 calculator" w:history="1">
              <w:proofErr w:type="spellStart"/>
              <w:r w:rsidRPr="00B30B5D">
                <w:rPr>
                  <w:rFonts w:ascii="Helvetica" w:eastAsia="Times New Roman" w:hAnsi="Helvetica" w:cs="Segoe UI"/>
                  <w:color w:val="000000"/>
                  <w:sz w:val="21"/>
                  <w:szCs w:val="21"/>
                  <w:u w:val="single"/>
                  <w:lang w:eastAsia="en-GB"/>
                </w:rPr>
                <w:t>QStroke</w:t>
              </w:r>
              <w:proofErr w:type="spellEnd"/>
              <w:r w:rsidRPr="00B30B5D">
                <w:rPr>
                  <w:rFonts w:ascii="Helvetica" w:eastAsia="Times New Roman" w:hAnsi="Helvetica" w:cs="Segoe UI"/>
                  <w:color w:val="000000"/>
                  <w:sz w:val="21"/>
                  <w:szCs w:val="21"/>
                  <w:u w:val="single"/>
                  <w:lang w:eastAsia="en-GB"/>
                </w:rPr>
                <w:t>®-2017 calculator</w:t>
              </w:r>
            </w:hyperlink>
          </w:p>
        </w:tc>
        <w:tc>
          <w:tcPr>
            <w:tcW w:w="4508" w:type="dxa"/>
            <w:vAlign w:val="center"/>
          </w:tcPr>
          <w:p w:rsidR="00FC5732" w:rsidRPr="00B30B5D" w:rsidRDefault="00FC5732" w:rsidP="00D44A31">
            <w:pPr>
              <w:rPr>
                <w:rFonts w:ascii="Helvetica" w:eastAsia="Times New Roman" w:hAnsi="Helvetica" w:cs="Segoe UI"/>
                <w:color w:val="3A3F51"/>
                <w:sz w:val="21"/>
                <w:szCs w:val="21"/>
                <w:lang w:eastAsia="en-GB"/>
              </w:rPr>
            </w:pPr>
            <w:r w:rsidRPr="00B30B5D">
              <w:rPr>
                <w:rFonts w:ascii="Helvetica" w:eastAsia="Times New Roman" w:hAnsi="Helvetica" w:cs="Segoe UI"/>
                <w:color w:val="000000"/>
                <w:sz w:val="21"/>
                <w:szCs w:val="21"/>
                <w:lang w:eastAsia="en-GB"/>
              </w:rPr>
              <w:t>Suffering a stroke in the next 10 years.</w:t>
            </w:r>
          </w:p>
        </w:tc>
      </w:tr>
      <w:tr w:rsidR="00FC5732" w:rsidRPr="00B30B5D" w:rsidTr="00FC5732">
        <w:tc>
          <w:tcPr>
            <w:tcW w:w="4508" w:type="dxa"/>
            <w:vAlign w:val="center"/>
          </w:tcPr>
          <w:p w:rsidR="00FC5732" w:rsidRPr="00B30B5D" w:rsidRDefault="00FC5732" w:rsidP="00D44A31">
            <w:pPr>
              <w:rPr>
                <w:rFonts w:ascii="Helvetica" w:eastAsia="Times New Roman" w:hAnsi="Helvetica" w:cs="Segoe UI"/>
                <w:color w:val="3A3F51"/>
                <w:sz w:val="21"/>
                <w:szCs w:val="21"/>
                <w:lang w:eastAsia="en-GB"/>
              </w:rPr>
            </w:pPr>
            <w:hyperlink r:id="rId8" w:tooltip="QCancer®-2017 calculator" w:history="1">
              <w:proofErr w:type="spellStart"/>
              <w:r w:rsidRPr="00B30B5D">
                <w:rPr>
                  <w:rFonts w:ascii="Helvetica" w:eastAsia="Times New Roman" w:hAnsi="Helvetica" w:cs="Segoe UI"/>
                  <w:color w:val="000000"/>
                  <w:sz w:val="21"/>
                  <w:szCs w:val="21"/>
                  <w:u w:val="single"/>
                  <w:lang w:eastAsia="en-GB"/>
                </w:rPr>
                <w:t>QCancer</w:t>
              </w:r>
              <w:proofErr w:type="spellEnd"/>
              <w:r w:rsidRPr="00B30B5D">
                <w:rPr>
                  <w:rFonts w:ascii="Helvetica" w:eastAsia="Times New Roman" w:hAnsi="Helvetica" w:cs="Segoe UI"/>
                  <w:color w:val="000000"/>
                  <w:sz w:val="21"/>
                  <w:szCs w:val="21"/>
                  <w:u w:val="single"/>
                  <w:lang w:eastAsia="en-GB"/>
                </w:rPr>
                <w:t>®-2017 calculator</w:t>
              </w:r>
            </w:hyperlink>
          </w:p>
        </w:tc>
        <w:tc>
          <w:tcPr>
            <w:tcW w:w="4508" w:type="dxa"/>
            <w:vAlign w:val="center"/>
          </w:tcPr>
          <w:p w:rsidR="00FC5732" w:rsidRPr="00B30B5D" w:rsidRDefault="00FC5732" w:rsidP="00D44A31">
            <w:pPr>
              <w:rPr>
                <w:rFonts w:ascii="Helvetica" w:eastAsia="Times New Roman" w:hAnsi="Helvetica" w:cs="Segoe UI"/>
                <w:color w:val="3A3F51"/>
                <w:sz w:val="21"/>
                <w:szCs w:val="21"/>
                <w:lang w:eastAsia="en-GB"/>
              </w:rPr>
            </w:pPr>
            <w:r w:rsidRPr="00B30B5D">
              <w:rPr>
                <w:rFonts w:ascii="Helvetica" w:eastAsia="Times New Roman" w:hAnsi="Helvetica" w:cs="Segoe UI"/>
                <w:color w:val="000000"/>
                <w:sz w:val="21"/>
                <w:szCs w:val="21"/>
                <w:lang w:eastAsia="en-GB"/>
              </w:rPr>
              <w:t>Having a current, undiagnosed, cancer.</w:t>
            </w:r>
          </w:p>
        </w:tc>
      </w:tr>
      <w:tr w:rsidR="00FC5732" w:rsidRPr="00B30B5D" w:rsidTr="00FC5732">
        <w:tc>
          <w:tcPr>
            <w:tcW w:w="4508" w:type="dxa"/>
            <w:vAlign w:val="center"/>
          </w:tcPr>
          <w:p w:rsidR="00FC5732" w:rsidRPr="00B30B5D" w:rsidRDefault="00FC5732" w:rsidP="00D44A31">
            <w:pPr>
              <w:rPr>
                <w:rFonts w:ascii="Helvetica" w:eastAsia="Times New Roman" w:hAnsi="Helvetica" w:cs="Segoe UI"/>
                <w:color w:val="3A3F51"/>
                <w:sz w:val="21"/>
                <w:szCs w:val="21"/>
                <w:lang w:eastAsia="en-GB"/>
              </w:rPr>
            </w:pPr>
            <w:hyperlink r:id="rId9" w:tooltip="CHA2DS2-VASc®-2015 calculator" w:history="1">
              <w:r w:rsidRPr="00B30B5D">
                <w:rPr>
                  <w:rFonts w:ascii="Helvetica" w:eastAsia="Times New Roman" w:hAnsi="Helvetica" w:cs="Segoe UI"/>
                  <w:color w:val="000000"/>
                  <w:sz w:val="21"/>
                  <w:szCs w:val="21"/>
                  <w:u w:val="single"/>
                  <w:lang w:eastAsia="en-GB"/>
                </w:rPr>
                <w:t>CHA2DS2-VASc®-2015 calculator</w:t>
              </w:r>
            </w:hyperlink>
          </w:p>
        </w:tc>
        <w:tc>
          <w:tcPr>
            <w:tcW w:w="4508" w:type="dxa"/>
            <w:vAlign w:val="center"/>
          </w:tcPr>
          <w:p w:rsidR="00FC5732" w:rsidRPr="00B30B5D" w:rsidRDefault="00FC5732" w:rsidP="00D44A31">
            <w:pPr>
              <w:rPr>
                <w:rFonts w:ascii="Helvetica" w:eastAsia="Times New Roman" w:hAnsi="Helvetica" w:cs="Segoe UI"/>
                <w:color w:val="3A3F51"/>
                <w:sz w:val="21"/>
                <w:szCs w:val="21"/>
                <w:lang w:eastAsia="en-GB"/>
              </w:rPr>
            </w:pPr>
            <w:r w:rsidRPr="00B30B5D">
              <w:rPr>
                <w:rFonts w:ascii="Helvetica" w:eastAsia="Times New Roman" w:hAnsi="Helvetica" w:cs="Segoe UI"/>
                <w:color w:val="000000"/>
                <w:sz w:val="21"/>
                <w:szCs w:val="21"/>
                <w:lang w:eastAsia="en-GB"/>
              </w:rPr>
              <w:t>Suffering a stroke for patients with atrial fibrillation.</w:t>
            </w:r>
          </w:p>
        </w:tc>
      </w:tr>
      <w:tr w:rsidR="00FC5732" w:rsidRPr="00B30B5D" w:rsidTr="00FC5732">
        <w:tc>
          <w:tcPr>
            <w:tcW w:w="4508" w:type="dxa"/>
            <w:vAlign w:val="center"/>
          </w:tcPr>
          <w:p w:rsidR="00FC5732" w:rsidRPr="00B30B5D" w:rsidRDefault="00FC5732" w:rsidP="00D44A31">
            <w:pPr>
              <w:rPr>
                <w:rFonts w:ascii="Helvetica" w:eastAsia="Times New Roman" w:hAnsi="Helvetica" w:cs="Segoe UI"/>
                <w:color w:val="3A3F51"/>
                <w:sz w:val="21"/>
                <w:szCs w:val="21"/>
                <w:lang w:eastAsia="en-GB"/>
              </w:rPr>
            </w:pPr>
            <w:hyperlink r:id="rId10" w:tooltip="QFrailty®-2017 calculator" w:history="1">
              <w:proofErr w:type="spellStart"/>
              <w:r w:rsidRPr="00B30B5D">
                <w:rPr>
                  <w:rFonts w:ascii="Helvetica" w:eastAsia="Times New Roman" w:hAnsi="Helvetica" w:cs="Segoe UI"/>
                  <w:color w:val="000000"/>
                  <w:sz w:val="21"/>
                  <w:szCs w:val="21"/>
                  <w:u w:val="single"/>
                  <w:lang w:eastAsia="en-GB"/>
                </w:rPr>
                <w:t>QFrailty</w:t>
              </w:r>
              <w:proofErr w:type="spellEnd"/>
              <w:r w:rsidRPr="00B30B5D">
                <w:rPr>
                  <w:rFonts w:ascii="Helvetica" w:eastAsia="Times New Roman" w:hAnsi="Helvetica" w:cs="Segoe UI"/>
                  <w:color w:val="000000"/>
                  <w:sz w:val="21"/>
                  <w:szCs w:val="21"/>
                  <w:u w:val="single"/>
                  <w:lang w:eastAsia="en-GB"/>
                </w:rPr>
                <w:t>®-2017 calculator</w:t>
              </w:r>
            </w:hyperlink>
          </w:p>
        </w:tc>
        <w:tc>
          <w:tcPr>
            <w:tcW w:w="4508" w:type="dxa"/>
            <w:vAlign w:val="center"/>
          </w:tcPr>
          <w:p w:rsidR="00FC5732" w:rsidRPr="00B30B5D" w:rsidRDefault="00FC5732" w:rsidP="00D44A31">
            <w:pPr>
              <w:rPr>
                <w:rFonts w:ascii="Helvetica" w:eastAsia="Times New Roman" w:hAnsi="Helvetica" w:cs="Segoe UI"/>
                <w:color w:val="3A3F51"/>
                <w:sz w:val="21"/>
                <w:szCs w:val="21"/>
                <w:lang w:eastAsia="en-GB"/>
              </w:rPr>
            </w:pPr>
            <w:r w:rsidRPr="00B30B5D">
              <w:rPr>
                <w:rFonts w:ascii="Helvetica" w:eastAsia="Times New Roman" w:hAnsi="Helvetica" w:cs="Segoe UI"/>
                <w:color w:val="000000"/>
                <w:sz w:val="21"/>
                <w:szCs w:val="21"/>
                <w:lang w:eastAsia="en-GB"/>
              </w:rPr>
              <w:t>Developing frailty. This calculator gives your patients a frailty score (severe, moderate, mild or fit).</w:t>
            </w:r>
          </w:p>
        </w:tc>
      </w:tr>
      <w:tr w:rsidR="00FC5732" w:rsidRPr="00B30B5D" w:rsidTr="00FC5732">
        <w:tc>
          <w:tcPr>
            <w:tcW w:w="4508" w:type="dxa"/>
            <w:vAlign w:val="center"/>
          </w:tcPr>
          <w:p w:rsidR="00FC5732" w:rsidRPr="00B30B5D" w:rsidRDefault="00FC5732" w:rsidP="00D44A31">
            <w:pPr>
              <w:rPr>
                <w:rFonts w:ascii="Helvetica" w:eastAsia="Times New Roman" w:hAnsi="Helvetica" w:cs="Segoe UI"/>
                <w:color w:val="3A3F51"/>
                <w:sz w:val="21"/>
                <w:szCs w:val="21"/>
                <w:lang w:eastAsia="en-GB"/>
              </w:rPr>
            </w:pPr>
            <w:hyperlink r:id="rId11" w:tooltip="NEWS2® calculator" w:history="1">
              <w:r w:rsidRPr="00B30B5D">
                <w:rPr>
                  <w:rFonts w:ascii="Helvetica" w:eastAsia="Times New Roman" w:hAnsi="Helvetica" w:cs="Segoe UI"/>
                  <w:color w:val="000000"/>
                  <w:sz w:val="21"/>
                  <w:szCs w:val="21"/>
                  <w:u w:val="single"/>
                  <w:lang w:eastAsia="en-GB"/>
                </w:rPr>
                <w:t>NEWS2® calculator</w:t>
              </w:r>
            </w:hyperlink>
          </w:p>
        </w:tc>
        <w:tc>
          <w:tcPr>
            <w:tcW w:w="4508" w:type="dxa"/>
            <w:vAlign w:val="center"/>
          </w:tcPr>
          <w:p w:rsidR="00FC5732" w:rsidRPr="00B30B5D" w:rsidRDefault="00FC5732" w:rsidP="00D44A31">
            <w:pPr>
              <w:rPr>
                <w:rFonts w:ascii="Helvetica" w:eastAsia="Times New Roman" w:hAnsi="Helvetica" w:cs="Segoe UI"/>
                <w:color w:val="3A3F51"/>
                <w:sz w:val="21"/>
                <w:szCs w:val="21"/>
                <w:lang w:eastAsia="en-GB"/>
              </w:rPr>
            </w:pPr>
            <w:r w:rsidRPr="00B30B5D">
              <w:rPr>
                <w:rFonts w:ascii="Helvetica" w:eastAsia="Times New Roman" w:hAnsi="Helvetica" w:cs="Segoe UI"/>
                <w:color w:val="000000"/>
                <w:sz w:val="21"/>
                <w:szCs w:val="21"/>
                <w:lang w:eastAsia="en-GB"/>
              </w:rPr>
              <w:t>Used for assessment and response to acute illness.</w:t>
            </w:r>
          </w:p>
        </w:tc>
      </w:tr>
    </w:tbl>
    <w:p w:rsidR="00FC5732" w:rsidRDefault="00FC5732" w:rsidP="00FC5732">
      <w:pPr>
        <w:pStyle w:val="Heading2"/>
        <w:shd w:val="clear" w:color="auto" w:fill="FFFFFF"/>
        <w:rPr>
          <w:rFonts w:asciiTheme="minorHAnsi" w:hAnsiTheme="minorHAnsi" w:cstheme="minorHAnsi"/>
          <w:b/>
          <w:bCs/>
          <w:sz w:val="24"/>
          <w:szCs w:val="24"/>
        </w:rPr>
      </w:pPr>
    </w:p>
    <w:p w:rsidR="00FC5732" w:rsidRPr="00FC5732" w:rsidRDefault="00FC5732" w:rsidP="00FC5732">
      <w:pPr>
        <w:pStyle w:val="Heading2"/>
        <w:shd w:val="clear" w:color="auto" w:fill="FFFFFF"/>
        <w:rPr>
          <w:rFonts w:asciiTheme="minorHAnsi" w:hAnsiTheme="minorHAnsi" w:cstheme="minorHAnsi"/>
          <w:b/>
          <w:color w:val="auto"/>
          <w:sz w:val="24"/>
          <w:szCs w:val="24"/>
        </w:rPr>
      </w:pPr>
      <w:r w:rsidRPr="00FC5732">
        <w:rPr>
          <w:rFonts w:asciiTheme="minorHAnsi" w:hAnsiTheme="minorHAnsi" w:cstheme="minorHAnsi"/>
          <w:b/>
          <w:bCs/>
          <w:color w:val="auto"/>
          <w:sz w:val="24"/>
          <w:szCs w:val="24"/>
        </w:rPr>
        <w:t>Clinical risk calculators and shared care record data</w:t>
      </w:r>
    </w:p>
    <w:p w:rsidR="00FC5732" w:rsidRPr="00FC5732" w:rsidRDefault="00FC5732" w:rsidP="00FC5732">
      <w:pPr>
        <w:pStyle w:val="NormalWeb"/>
        <w:shd w:val="clear" w:color="auto" w:fill="FFFFFF"/>
        <w:rPr>
          <w:rFonts w:asciiTheme="minorHAnsi" w:hAnsiTheme="minorHAnsi" w:cstheme="minorHAnsi"/>
        </w:rPr>
      </w:pPr>
      <w:r w:rsidRPr="00FC5732">
        <w:rPr>
          <w:rFonts w:asciiTheme="minorHAnsi" w:hAnsiTheme="minorHAnsi" w:cstheme="minorHAnsi"/>
        </w:rPr>
        <w:t>Organisations with access to shared record data should be aware that clinical risk calculators in EMIS Web will only evaluate local data when performing calculations.</w:t>
      </w:r>
    </w:p>
    <w:p w:rsidR="00FC5732" w:rsidRPr="00FC5732" w:rsidRDefault="00FC5732" w:rsidP="00FC5732">
      <w:pPr>
        <w:pStyle w:val="NormalWeb"/>
        <w:shd w:val="clear" w:color="auto" w:fill="FFFFFF"/>
        <w:rPr>
          <w:rFonts w:asciiTheme="minorHAnsi" w:hAnsiTheme="minorHAnsi" w:cstheme="minorHAnsi"/>
        </w:rPr>
      </w:pPr>
      <w:r w:rsidRPr="00FC5732">
        <w:rPr>
          <w:rFonts w:asciiTheme="minorHAnsi" w:hAnsiTheme="minorHAnsi" w:cstheme="minorHAnsi"/>
        </w:rPr>
        <w:t>This means that if there are differences between your local care record and any shared record that you have access to, risk scores generated by a calculator may differ between organisations, as the data on which the score is based also differs.</w:t>
      </w:r>
    </w:p>
    <w:p w:rsidR="00FC5732" w:rsidRPr="00FC5732" w:rsidRDefault="00FC5732" w:rsidP="00FC5732">
      <w:pPr>
        <w:pStyle w:val="NormalWeb"/>
        <w:shd w:val="clear" w:color="auto" w:fill="FFFFFF"/>
        <w:rPr>
          <w:rFonts w:asciiTheme="minorHAnsi" w:hAnsiTheme="minorHAnsi" w:cstheme="minorHAnsi"/>
        </w:rPr>
      </w:pPr>
      <w:r w:rsidRPr="00FC5732">
        <w:rPr>
          <w:rFonts w:asciiTheme="minorHAnsi" w:hAnsiTheme="minorHAnsi" w:cstheme="minorHAnsi"/>
        </w:rPr>
        <w:t>To avoid this kind of scenario, it is important to ensure that any data held locally within your own organisation is up-to-date and accurate with any shared record. This includes clinical codes (and any associated values, i.e. weight or BMI), demographic information and family history.</w:t>
      </w:r>
    </w:p>
    <w:p w:rsidR="00D044C5" w:rsidRPr="00FC5732" w:rsidRDefault="00FC5732" w:rsidP="00FC5732">
      <w:pPr>
        <w:pStyle w:val="hot-marker"/>
        <w:rPr>
          <w:b/>
        </w:rPr>
      </w:pPr>
      <w:r w:rsidRPr="00FC5732">
        <w:rPr>
          <w:rFonts w:asciiTheme="minorHAnsi" w:hAnsiTheme="minorHAnsi" w:cstheme="minorHAnsi"/>
        </w:rPr>
        <w:t>It is important to note that the calculators themselves are working correctly, and any calculation is reliant on the data available.</w:t>
      </w:r>
    </w:p>
    <w:sectPr w:rsidR="00D044C5" w:rsidRPr="00FC5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32"/>
    <w:rsid w:val="00D044C5"/>
    <w:rsid w:val="00FC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491F"/>
  <w15:chartTrackingRefBased/>
  <w15:docId w15:val="{3A2E9DD6-CBBE-4A56-922C-37A0C647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C57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C57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73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FC573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C57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5732"/>
    <w:rPr>
      <w:b/>
      <w:bCs/>
    </w:rPr>
  </w:style>
  <w:style w:type="paragraph" w:customStyle="1" w:styleId="hot-marker">
    <w:name w:val="hot-marker"/>
    <w:basedOn w:val="Normal"/>
    <w:rsid w:val="00FC57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secondary-data">
    <w:name w:val="title-secondary-data"/>
    <w:basedOn w:val="DefaultParagraphFont"/>
    <w:rsid w:val="00FC5732"/>
  </w:style>
  <w:style w:type="character" w:customStyle="1" w:styleId="sr-only">
    <w:name w:val="sr-only"/>
    <w:basedOn w:val="DefaultParagraphFont"/>
    <w:rsid w:val="00FC5732"/>
  </w:style>
  <w:style w:type="character" w:customStyle="1" w:styleId="pad-right">
    <w:name w:val="pad-right"/>
    <w:basedOn w:val="DefaultParagraphFont"/>
    <w:rsid w:val="00FC5732"/>
  </w:style>
  <w:style w:type="character" w:customStyle="1" w:styleId="ng-binding">
    <w:name w:val="ng-binding"/>
    <w:basedOn w:val="DefaultParagraphFont"/>
    <w:rsid w:val="00FC5732"/>
  </w:style>
  <w:style w:type="character" w:customStyle="1" w:styleId="views">
    <w:name w:val="views"/>
    <w:basedOn w:val="DefaultParagraphFont"/>
    <w:rsid w:val="00FC5732"/>
  </w:style>
  <w:style w:type="character" w:styleId="Hyperlink">
    <w:name w:val="Hyperlink"/>
    <w:basedOn w:val="DefaultParagraphFont"/>
    <w:uiPriority w:val="99"/>
    <w:semiHidden/>
    <w:unhideWhenUsed/>
    <w:rsid w:val="00FC5732"/>
    <w:rPr>
      <w:color w:val="0000FF"/>
      <w:u w:val="single"/>
    </w:rPr>
  </w:style>
  <w:style w:type="table" w:styleId="TableGrid">
    <w:name w:val="Table Grid"/>
    <w:basedOn w:val="TableNormal"/>
    <w:uiPriority w:val="39"/>
    <w:rsid w:val="00FC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455">
      <w:bodyDiv w:val="1"/>
      <w:marLeft w:val="0"/>
      <w:marRight w:val="0"/>
      <w:marTop w:val="0"/>
      <w:marBottom w:val="0"/>
      <w:divBdr>
        <w:top w:val="none" w:sz="0" w:space="0" w:color="auto"/>
        <w:left w:val="none" w:sz="0" w:space="0" w:color="auto"/>
        <w:bottom w:val="none" w:sz="0" w:space="0" w:color="auto"/>
        <w:right w:val="none" w:sz="0" w:space="0" w:color="auto"/>
      </w:divBdr>
      <w:divsChild>
        <w:div w:id="2047368113">
          <w:marLeft w:val="0"/>
          <w:marRight w:val="0"/>
          <w:marTop w:val="0"/>
          <w:marBottom w:val="0"/>
          <w:divBdr>
            <w:top w:val="none" w:sz="0" w:space="0" w:color="auto"/>
            <w:left w:val="none" w:sz="0" w:space="0" w:color="auto"/>
            <w:bottom w:val="none" w:sz="0" w:space="0" w:color="auto"/>
            <w:right w:val="none" w:sz="0" w:space="0" w:color="auto"/>
          </w:divBdr>
        </w:div>
        <w:div w:id="1005785824">
          <w:marLeft w:val="0"/>
          <w:marRight w:val="0"/>
          <w:marTop w:val="0"/>
          <w:marBottom w:val="0"/>
          <w:divBdr>
            <w:top w:val="none" w:sz="0" w:space="0" w:color="auto"/>
            <w:left w:val="none" w:sz="0" w:space="0" w:color="auto"/>
            <w:bottom w:val="none" w:sz="0" w:space="0" w:color="auto"/>
            <w:right w:val="none" w:sz="0" w:space="0" w:color="auto"/>
          </w:divBdr>
        </w:div>
        <w:div w:id="435906918">
          <w:marLeft w:val="0"/>
          <w:marRight w:val="0"/>
          <w:marTop w:val="0"/>
          <w:marBottom w:val="0"/>
          <w:divBdr>
            <w:top w:val="none" w:sz="0" w:space="0" w:color="auto"/>
            <w:left w:val="none" w:sz="0" w:space="0" w:color="auto"/>
            <w:bottom w:val="none" w:sz="0" w:space="0" w:color="auto"/>
            <w:right w:val="none" w:sz="0" w:space="0" w:color="auto"/>
          </w:divBdr>
        </w:div>
        <w:div w:id="341707389">
          <w:marLeft w:val="0"/>
          <w:marRight w:val="0"/>
          <w:marTop w:val="0"/>
          <w:marBottom w:val="0"/>
          <w:divBdr>
            <w:top w:val="none" w:sz="0" w:space="0" w:color="auto"/>
            <w:left w:val="none" w:sz="0" w:space="0" w:color="auto"/>
            <w:bottom w:val="none" w:sz="0" w:space="0" w:color="auto"/>
            <w:right w:val="none" w:sz="0" w:space="0" w:color="auto"/>
          </w:divBdr>
        </w:div>
        <w:div w:id="1770347971">
          <w:marLeft w:val="0"/>
          <w:marRight w:val="0"/>
          <w:marTop w:val="0"/>
          <w:marBottom w:val="0"/>
          <w:divBdr>
            <w:top w:val="none" w:sz="0" w:space="0" w:color="auto"/>
            <w:left w:val="none" w:sz="0" w:space="0" w:color="auto"/>
            <w:bottom w:val="none" w:sz="0" w:space="0" w:color="auto"/>
            <w:right w:val="none" w:sz="0" w:space="0" w:color="auto"/>
          </w:divBdr>
        </w:div>
        <w:div w:id="589319153">
          <w:marLeft w:val="0"/>
          <w:marRight w:val="0"/>
          <w:marTop w:val="0"/>
          <w:marBottom w:val="0"/>
          <w:divBdr>
            <w:top w:val="none" w:sz="0" w:space="0" w:color="auto"/>
            <w:left w:val="none" w:sz="0" w:space="0" w:color="auto"/>
            <w:bottom w:val="none" w:sz="0" w:space="0" w:color="auto"/>
            <w:right w:val="none" w:sz="0" w:space="0" w:color="auto"/>
          </w:divBdr>
        </w:div>
        <w:div w:id="79717980">
          <w:marLeft w:val="0"/>
          <w:marRight w:val="0"/>
          <w:marTop w:val="0"/>
          <w:marBottom w:val="0"/>
          <w:divBdr>
            <w:top w:val="none" w:sz="0" w:space="0" w:color="auto"/>
            <w:left w:val="none" w:sz="0" w:space="0" w:color="auto"/>
            <w:bottom w:val="none" w:sz="0" w:space="0" w:color="auto"/>
            <w:right w:val="none" w:sz="0" w:space="0" w:color="auto"/>
          </w:divBdr>
        </w:div>
      </w:divsChild>
    </w:div>
    <w:div w:id="204367191">
      <w:bodyDiv w:val="1"/>
      <w:marLeft w:val="0"/>
      <w:marRight w:val="0"/>
      <w:marTop w:val="0"/>
      <w:marBottom w:val="0"/>
      <w:divBdr>
        <w:top w:val="none" w:sz="0" w:space="0" w:color="auto"/>
        <w:left w:val="none" w:sz="0" w:space="0" w:color="auto"/>
        <w:bottom w:val="none" w:sz="0" w:space="0" w:color="auto"/>
        <w:right w:val="none" w:sz="0" w:space="0" w:color="auto"/>
      </w:divBdr>
    </w:div>
    <w:div w:id="703755579">
      <w:bodyDiv w:val="1"/>
      <w:marLeft w:val="0"/>
      <w:marRight w:val="0"/>
      <w:marTop w:val="0"/>
      <w:marBottom w:val="0"/>
      <w:divBdr>
        <w:top w:val="none" w:sz="0" w:space="0" w:color="auto"/>
        <w:left w:val="none" w:sz="0" w:space="0" w:color="auto"/>
        <w:bottom w:val="none" w:sz="0" w:space="0" w:color="auto"/>
        <w:right w:val="none" w:sz="0" w:space="0" w:color="auto"/>
      </w:divBdr>
    </w:div>
    <w:div w:id="716857831">
      <w:bodyDiv w:val="1"/>
      <w:marLeft w:val="0"/>
      <w:marRight w:val="0"/>
      <w:marTop w:val="0"/>
      <w:marBottom w:val="0"/>
      <w:divBdr>
        <w:top w:val="none" w:sz="0" w:space="0" w:color="auto"/>
        <w:left w:val="none" w:sz="0" w:space="0" w:color="auto"/>
        <w:bottom w:val="none" w:sz="0" w:space="0" w:color="auto"/>
        <w:right w:val="none" w:sz="0" w:space="0" w:color="auto"/>
      </w:divBdr>
      <w:divsChild>
        <w:div w:id="54159398">
          <w:marLeft w:val="0"/>
          <w:marRight w:val="0"/>
          <w:marTop w:val="0"/>
          <w:marBottom w:val="0"/>
          <w:divBdr>
            <w:top w:val="none" w:sz="0" w:space="0" w:color="auto"/>
            <w:left w:val="none" w:sz="0" w:space="0" w:color="auto"/>
            <w:bottom w:val="none" w:sz="0" w:space="0" w:color="auto"/>
            <w:right w:val="none" w:sz="0" w:space="0" w:color="auto"/>
          </w:divBdr>
        </w:div>
      </w:divsChild>
    </w:div>
    <w:div w:id="1737361590">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
    <w:div w:id="190572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isnow.com/csm?id=kb_article_view&amp;sysparm_article=KB004548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misnow.com/csm?id=kb_article_view&amp;sysparm_article=KB004507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isnow.com/csm?id=kb_article_view&amp;sysparm_article=KB0045077" TargetMode="External"/><Relationship Id="rId11" Type="http://schemas.openxmlformats.org/officeDocument/2006/relationships/hyperlink" Target="https://www.emisnow.com/csm?id=kb_article_view&amp;sysparm_article=KB0040001" TargetMode="External"/><Relationship Id="rId5" Type="http://schemas.openxmlformats.org/officeDocument/2006/relationships/hyperlink" Target="https://www.emisnow.com/csm?id=kb_article&amp;sysparm_article=KB0040029" TargetMode="External"/><Relationship Id="rId10" Type="http://schemas.openxmlformats.org/officeDocument/2006/relationships/hyperlink" Target="https://www.emisnow.com/csm?id=kb_article_view&amp;sysparm_article=KB0045094" TargetMode="External"/><Relationship Id="rId4" Type="http://schemas.openxmlformats.org/officeDocument/2006/relationships/hyperlink" Target="https://www.emisnow.com/csm?id=kb_article_view&amp;sysparm_article=KB0040004" TargetMode="External"/><Relationship Id="rId9" Type="http://schemas.openxmlformats.org/officeDocument/2006/relationships/hyperlink" Target="https://www.emisnow.com/csm?id=kb_article_view&amp;sysparm_article=KB0045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Amanda (Roaming)</dc:creator>
  <cp:keywords/>
  <dc:description/>
  <cp:lastModifiedBy>Mason Amanda (Roaming)</cp:lastModifiedBy>
  <cp:revision>1</cp:revision>
  <dcterms:created xsi:type="dcterms:W3CDTF">2023-02-08T09:17:00Z</dcterms:created>
  <dcterms:modified xsi:type="dcterms:W3CDTF">2023-02-08T09:26:00Z</dcterms:modified>
</cp:coreProperties>
</file>