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8EED" w14:textId="21705828" w:rsidR="00803471" w:rsidRPr="00803471" w:rsidRDefault="00803471" w:rsidP="00803471">
      <w:pPr>
        <w:pStyle w:val="NoSpacing"/>
        <w:jc w:val="center"/>
        <w:rPr>
          <w:b/>
          <w:bCs/>
        </w:rPr>
      </w:pPr>
      <w:bookmarkStart w:id="0" w:name="_GoBack"/>
      <w:bookmarkEnd w:id="0"/>
      <w:r w:rsidRPr="00803471">
        <w:rPr>
          <w:b/>
          <w:bCs/>
        </w:rPr>
        <w:t xml:space="preserve">Risk Assessment </w:t>
      </w:r>
      <w:r w:rsidR="00525C23">
        <w:rPr>
          <w:b/>
          <w:bCs/>
        </w:rPr>
        <w:t>Framework F</w:t>
      </w:r>
      <w:r w:rsidRPr="00803471">
        <w:rPr>
          <w:b/>
          <w:bCs/>
        </w:rPr>
        <w:t>or:</w:t>
      </w:r>
    </w:p>
    <w:p w14:paraId="2114AFEA" w14:textId="37735598" w:rsidR="00803471" w:rsidRDefault="00803471" w:rsidP="00803471">
      <w:pPr>
        <w:pStyle w:val="NoSpacing"/>
        <w:jc w:val="center"/>
        <w:rPr>
          <w:b/>
          <w:bCs/>
        </w:rPr>
      </w:pPr>
      <w:r w:rsidRPr="00803471">
        <w:rPr>
          <w:b/>
          <w:bCs/>
        </w:rPr>
        <w:t xml:space="preserve">COVID-19: Exemption from contact isolation for fully vaccinated </w:t>
      </w:r>
      <w:r w:rsidR="00525C23">
        <w:rPr>
          <w:b/>
          <w:bCs/>
        </w:rPr>
        <w:t>health and</w:t>
      </w:r>
      <w:r w:rsidRPr="00803471">
        <w:rPr>
          <w:b/>
          <w:bCs/>
        </w:rPr>
        <w:t xml:space="preserve"> social care staff in exceptional circumstances</w:t>
      </w:r>
    </w:p>
    <w:p w14:paraId="723E7475" w14:textId="77777777" w:rsidR="00CC7B05" w:rsidRDefault="00CC7B05" w:rsidP="00803471">
      <w:pPr>
        <w:pStyle w:val="NoSpacing"/>
        <w:rPr>
          <w:rFonts w:ascii="Segoe UI" w:hAnsi="Segoe UI" w:cs="Segoe UI"/>
          <w:color w:val="FFFFFF"/>
          <w:shd w:val="clear" w:color="auto" w:fill="292929"/>
        </w:rPr>
      </w:pPr>
    </w:p>
    <w:p w14:paraId="6FFC9C96" w14:textId="5416300E" w:rsidR="007A6255" w:rsidRDefault="00CC7B05" w:rsidP="00803471">
      <w:pPr>
        <w:pStyle w:val="NoSpacing"/>
        <w:rPr>
          <w:rFonts w:ascii="Segoe UI" w:hAnsi="Segoe UI" w:cs="Segoe UI"/>
          <w:color w:val="FFFFFF"/>
          <w:shd w:val="clear" w:color="auto" w:fill="292929"/>
        </w:rPr>
      </w:pPr>
      <w:r w:rsidRPr="00CC7B05">
        <w:t>We must stress that risk assessment and decision to exclude the member of staff from isolation sits with the originating provider organisation.</w:t>
      </w:r>
    </w:p>
    <w:p w14:paraId="5DE5CDD4" w14:textId="77777777" w:rsidR="00CC7B05" w:rsidRDefault="00CC7B05" w:rsidP="00803471">
      <w:pPr>
        <w:pStyle w:val="NoSpacing"/>
      </w:pPr>
    </w:p>
    <w:p w14:paraId="370CC199" w14:textId="6CDFBCD6" w:rsidR="00D76C81" w:rsidRDefault="002466F0" w:rsidP="00803471">
      <w:pPr>
        <w:pStyle w:val="NoSpacing"/>
      </w:pPr>
      <w:r w:rsidRPr="008E3E02">
        <w:t xml:space="preserve">This framework has been designed to help individual </w:t>
      </w:r>
      <w:r w:rsidRPr="00D76C81">
        <w:t>health and social care</w:t>
      </w:r>
      <w:r w:rsidRPr="008E3E02">
        <w:t xml:space="preserve"> organisations </w:t>
      </w:r>
      <w:r w:rsidR="00D76C81">
        <w:t>operationalise</w:t>
      </w:r>
      <w:r w:rsidRPr="008E3E02">
        <w:t xml:space="preserve"> the </w:t>
      </w:r>
      <w:r w:rsidR="00D76C81">
        <w:t xml:space="preserve">updated </w:t>
      </w:r>
      <w:r w:rsidRPr="008E3E02">
        <w:t xml:space="preserve">national guidance </w:t>
      </w:r>
      <w:r w:rsidR="00D76C81">
        <w:t xml:space="preserve">and advice </w:t>
      </w:r>
      <w:r w:rsidRPr="008E3E02">
        <w:t>issue</w:t>
      </w:r>
      <w:r w:rsidR="00D76C81">
        <w:t>d</w:t>
      </w:r>
      <w:r w:rsidRPr="008E3E02">
        <w:t xml:space="preserve"> around exemption from contact isolation for fully vaccinated health and social care staff in exceptional circumstances </w:t>
      </w:r>
    </w:p>
    <w:p w14:paraId="50981A55" w14:textId="77777777" w:rsidR="00D76C81" w:rsidRDefault="00D76C81" w:rsidP="00803471">
      <w:pPr>
        <w:pStyle w:val="NoSpacing"/>
      </w:pPr>
    </w:p>
    <w:p w14:paraId="6EE5AD2B" w14:textId="77777777" w:rsidR="00D76C81" w:rsidRPr="00D76C81" w:rsidRDefault="00B5606B" w:rsidP="00D76C81">
      <w:pPr>
        <w:pStyle w:val="NoSpacing"/>
        <w:numPr>
          <w:ilvl w:val="0"/>
          <w:numId w:val="30"/>
        </w:numPr>
      </w:pPr>
      <w:hyperlink r:id="rId8" w:history="1">
        <w:r w:rsidR="00D76C81" w:rsidRPr="00D76C81">
          <w:rPr>
            <w:rStyle w:val="Hyperlink"/>
          </w:rPr>
          <w:t>COVID-19: management of staff and exposed patients and residents in health and social care settings - GOV.UK (www.gov.uk)</w:t>
        </w:r>
      </w:hyperlink>
    </w:p>
    <w:p w14:paraId="53E6C076" w14:textId="2EF5FF65" w:rsidR="00D76C81" w:rsidRPr="00D76C81" w:rsidRDefault="00B5606B" w:rsidP="00E85364">
      <w:pPr>
        <w:pStyle w:val="NoSpacing"/>
        <w:numPr>
          <w:ilvl w:val="0"/>
          <w:numId w:val="30"/>
        </w:numPr>
      </w:pPr>
      <w:hyperlink r:id="rId9" w:history="1">
        <w:r w:rsidR="00D76C81" w:rsidRPr="009644A5">
          <w:rPr>
            <w:rStyle w:val="Hyperlink"/>
          </w:rPr>
          <w:t>https://connect.phe.gov.uk/documents/preview/29541/COVID-19-Exemption-from-contact-isolation-for-fully-vaccinated-health-and-social-care-staff-in-exceptional-circumstances-2021-050</w:t>
        </w:r>
      </w:hyperlink>
      <w:r w:rsidR="00D76C81">
        <w:t xml:space="preserve">  </w:t>
      </w:r>
      <w:r w:rsidR="00D76C81" w:rsidRPr="00D76C81">
        <w:t xml:space="preserve">PHE - Briefing Note 2021/050  -  </w:t>
      </w:r>
      <w:r w:rsidR="00E85364">
        <w:object w:dxaOrig="1508" w:dyaOrig="982" w14:anchorId="3AD59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49.1pt" o:ole="">
            <v:imagedata r:id="rId10" o:title=""/>
          </v:shape>
          <o:OLEObject Type="Embed" ProgID="AcroExch.Document.DC" ShapeID="_x0000_i1025" DrawAspect="Icon" ObjectID="_1689576770" r:id="rId11"/>
        </w:object>
      </w:r>
    </w:p>
    <w:p w14:paraId="284CA658" w14:textId="77777777" w:rsidR="00D76C81" w:rsidRPr="00D76C81" w:rsidRDefault="00B5606B" w:rsidP="00D76C81">
      <w:pPr>
        <w:pStyle w:val="NoSpacing"/>
        <w:numPr>
          <w:ilvl w:val="0"/>
          <w:numId w:val="30"/>
        </w:numPr>
      </w:pPr>
      <w:hyperlink r:id="rId12" w:history="1">
        <w:r w:rsidR="00D76C81" w:rsidRPr="00D76C81">
          <w:rPr>
            <w:rStyle w:val="Hyperlink"/>
          </w:rPr>
          <w:t>https://www.england.nhs.uk/coronavirus/publication/letter-on-staff-isolation-approach-following-updated-government-guidance/</w:t>
        </w:r>
      </w:hyperlink>
      <w:r w:rsidR="00D76C81" w:rsidRPr="00D76C81">
        <w:rPr>
          <w:u w:val="single"/>
        </w:rPr>
        <w:t xml:space="preserve"> - </w:t>
      </w:r>
      <w:r w:rsidR="00D76C81" w:rsidRPr="00D76C81">
        <w:t xml:space="preserve">Publication approval reference: C1354  - Guidance for allowing essential frontline staff to return to work following a negative PCR if they have been asked to isolate due to potential contact </w:t>
      </w:r>
    </w:p>
    <w:p w14:paraId="601CFFAF" w14:textId="77777777" w:rsidR="00D76C81" w:rsidRPr="008E3E02" w:rsidRDefault="00D76C81" w:rsidP="00803471">
      <w:pPr>
        <w:pStyle w:val="NoSpacing"/>
      </w:pPr>
    </w:p>
    <w:p w14:paraId="01F993AE" w14:textId="77777777" w:rsidR="008E3E02" w:rsidRDefault="008E3E02" w:rsidP="002466F0">
      <w:pPr>
        <w:pStyle w:val="NoSpacing"/>
        <w:ind w:left="720"/>
        <w:jc w:val="center"/>
        <w:rPr>
          <w:i/>
          <w:iCs/>
        </w:rPr>
      </w:pPr>
    </w:p>
    <w:p w14:paraId="7F2842B6" w14:textId="77777777" w:rsidR="002C4AD9" w:rsidRDefault="002C4AD9" w:rsidP="002C4AD9">
      <w:pPr>
        <w:pStyle w:val="NoSpacing"/>
        <w:jc w:val="both"/>
      </w:pPr>
      <w:r>
        <w:t>The framework is intended to help organisations give c</w:t>
      </w:r>
      <w:r w:rsidRPr="008E3E02">
        <w:t xml:space="preserve">areful consideration to the risk of onward transmission </w:t>
      </w:r>
      <w:r>
        <w:t xml:space="preserve">of Covid-19 </w:t>
      </w:r>
      <w:r w:rsidRPr="008E3E02">
        <w:t>compared to the risk to delivery of critical services</w:t>
      </w:r>
      <w:r>
        <w:t xml:space="preserve"> due to staff absence and to encourage  clear documentation of  the risk assessment process and the context at the time it was undertaken</w:t>
      </w:r>
      <w:r w:rsidRPr="008E3E02">
        <w:t xml:space="preserve">. </w:t>
      </w:r>
    </w:p>
    <w:p w14:paraId="46944437" w14:textId="77777777" w:rsidR="002C4AD9" w:rsidRDefault="002C4AD9" w:rsidP="002C4AD9">
      <w:pPr>
        <w:pStyle w:val="NoSpacing"/>
        <w:jc w:val="both"/>
      </w:pPr>
    </w:p>
    <w:p w14:paraId="4109D4D0" w14:textId="4456EEE2" w:rsidR="002C4AD9" w:rsidRDefault="002C4AD9" w:rsidP="002C4AD9">
      <w:pPr>
        <w:pStyle w:val="NoSpacing"/>
        <w:jc w:val="both"/>
      </w:pPr>
      <w:r>
        <w:t xml:space="preserve">The framework is intended to cover essential, </w:t>
      </w:r>
      <w:r w:rsidR="00D76C81">
        <w:t>fully vaccinated</w:t>
      </w:r>
      <w:r w:rsidR="009970F0">
        <w:t>,</w:t>
      </w:r>
      <w:r w:rsidR="00D76C81">
        <w:t xml:space="preserve"> </w:t>
      </w:r>
      <w:r>
        <w:t>frontline health and social care staff.  It is recognised that</w:t>
      </w:r>
      <w:r w:rsidR="00D76C81">
        <w:t xml:space="preserve"> there may be variation in how </w:t>
      </w:r>
      <w:r>
        <w:t xml:space="preserve">local systems may interpret </w:t>
      </w:r>
      <w:r w:rsidR="00D76C81">
        <w:t xml:space="preserve">which organisations and employees fall within scope.  </w:t>
      </w:r>
    </w:p>
    <w:p w14:paraId="7CAF1F33" w14:textId="77777777" w:rsidR="00D76C81" w:rsidRDefault="00D76C81" w:rsidP="002C4AD9">
      <w:pPr>
        <w:pStyle w:val="NoSpacing"/>
        <w:jc w:val="both"/>
      </w:pPr>
    </w:p>
    <w:p w14:paraId="6BE1613B" w14:textId="2BFA81EB" w:rsidR="002C4AD9" w:rsidRDefault="002C4AD9" w:rsidP="008E3E02">
      <w:pPr>
        <w:pStyle w:val="NoSpacing"/>
        <w:jc w:val="both"/>
      </w:pPr>
      <w:r w:rsidRPr="002C4AD9">
        <w:t>In the very limited circumstances</w:t>
      </w:r>
      <w:r>
        <w:t xml:space="preserve"> where an exception to isolation is made</w:t>
      </w:r>
      <w:r w:rsidRPr="002C4AD9">
        <w:t xml:space="preserve">, </w:t>
      </w:r>
      <w:r>
        <w:t xml:space="preserve">it is envisaged </w:t>
      </w:r>
      <w:r w:rsidRPr="002C4AD9">
        <w:t xml:space="preserve">staff will remain under a duty to self-isolate as a close contact. However, they will be considered as having a ‘reasonable excuse’ not to self-isolate for </w:t>
      </w:r>
      <w:r w:rsidR="00D76C81">
        <w:t>the defined</w:t>
      </w:r>
      <w:r w:rsidRPr="002C4AD9">
        <w:t xml:space="preserve"> period where it is necessary for them to undertake specific patient or client-facing tasks</w:t>
      </w:r>
      <w:r w:rsidR="00D76C81">
        <w:t xml:space="preserve"> or travel to and from </w:t>
      </w:r>
      <w:r w:rsidR="00F2701F">
        <w:t>delivering those duties</w:t>
      </w:r>
      <w:r w:rsidRPr="002C4AD9">
        <w:t>. They will continue to receive isolation reminders</w:t>
      </w:r>
      <w:r>
        <w:t>. The exemption may not apply to the entire isolation period; it will need to be reviewed and risk assessed dynamically</w:t>
      </w:r>
      <w:r w:rsidR="009970F0">
        <w:t xml:space="preserve">. The exemption gives the employer the right to allow the staff member to return to the workplace, but not to compel them to return.  </w:t>
      </w:r>
    </w:p>
    <w:p w14:paraId="23B96F31" w14:textId="1ABB5EB0" w:rsidR="002C4AD9" w:rsidRDefault="002C4AD9" w:rsidP="008E3E02">
      <w:pPr>
        <w:pStyle w:val="NoSpacing"/>
        <w:jc w:val="both"/>
      </w:pPr>
    </w:p>
    <w:p w14:paraId="212C32F9" w14:textId="731C0E74" w:rsidR="00F2701F" w:rsidRDefault="00F2701F" w:rsidP="008E3E02">
      <w:pPr>
        <w:pStyle w:val="NoSpacing"/>
        <w:jc w:val="both"/>
      </w:pPr>
      <w:r>
        <w:t>This framework has been developed through the best endeavours of a South West Regional Professional Community of Practice.  It is intended that individual organisations and health and social care systems will develop their own standard operating procedures around e</w:t>
      </w:r>
      <w:r w:rsidRPr="00F2701F">
        <w:t>xemption from contact isolation for fully vaccinated health and social care staff in exceptional circumstances</w:t>
      </w:r>
      <w:r>
        <w:t xml:space="preserve">, and take such documents through their usual clinical governance processes and approvals.  </w:t>
      </w:r>
    </w:p>
    <w:p w14:paraId="21FC0AA4" w14:textId="2039250C" w:rsidR="00F96E03" w:rsidRPr="00525C23" w:rsidRDefault="00AF7E19" w:rsidP="008E3E02">
      <w:pPr>
        <w:pStyle w:val="NoSpacing"/>
        <w:jc w:val="both"/>
      </w:pPr>
      <w:r w:rsidRPr="00525C2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38207" wp14:editId="1D3EBDA4">
                <wp:simplePos x="0" y="0"/>
                <wp:positionH relativeFrom="column">
                  <wp:posOffset>20955</wp:posOffset>
                </wp:positionH>
                <wp:positionV relativeFrom="paragraph">
                  <wp:posOffset>151130</wp:posOffset>
                </wp:positionV>
                <wp:extent cx="60007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5EF3" w14:textId="26212A36" w:rsidR="00AF7E19" w:rsidRPr="00266778" w:rsidRDefault="00AF7E19" w:rsidP="00AF7E19">
                            <w:r w:rsidRPr="00266778">
                              <w:rPr>
                                <w:b/>
                                <w:bCs/>
                              </w:rPr>
                              <w:t>Key principles</w:t>
                            </w:r>
                            <w:r>
                              <w:t>:</w:t>
                            </w:r>
                            <w:r w:rsidRPr="00266778">
                              <w:t xml:space="preserve"> </w:t>
                            </w:r>
                          </w:p>
                          <w:p w14:paraId="2B6F51EB" w14:textId="128C151C" w:rsidR="00AF7E19" w:rsidRPr="00C53F12" w:rsidRDefault="00AF7E19" w:rsidP="00C53F1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This is a case by case risk assessment</w:t>
                            </w:r>
                            <w:r w:rsidR="002466F0">
                              <w:t xml:space="preserve"> to cover contacts identified through NHS Test and Trace, the NHS Covid App </w:t>
                            </w:r>
                            <w:r w:rsidR="009970F0">
                              <w:t>and</w:t>
                            </w:r>
                            <w:r w:rsidR="002466F0">
                              <w:t xml:space="preserve"> other formal contact tracing routes.  </w:t>
                            </w:r>
                            <w:r>
                              <w:t xml:space="preserve"> </w:t>
                            </w:r>
                            <w:r w:rsidR="00D75F94" w:rsidRPr="00D474BD">
                              <w:t xml:space="preserve">This risk assessment </w:t>
                            </w:r>
                            <w:r w:rsidR="00B84A64">
                              <w:t>sh</w:t>
                            </w:r>
                            <w:r w:rsidR="00D75F94" w:rsidRPr="00D474BD">
                              <w:t>ould only be used in exceptional circumstances</w:t>
                            </w:r>
                            <w:r w:rsidR="005F49B4" w:rsidRPr="00D474BD">
                              <w:t xml:space="preserve">, </w:t>
                            </w:r>
                            <w:proofErr w:type="spellStart"/>
                            <w:r w:rsidR="005F49B4" w:rsidRPr="00D474BD">
                              <w:t>eg</w:t>
                            </w:r>
                            <w:proofErr w:type="spellEnd"/>
                            <w:r w:rsidR="005F49B4" w:rsidRPr="00D474BD">
                              <w:t>,</w:t>
                            </w:r>
                            <w:r w:rsidR="00D75F94" w:rsidRPr="00D474BD">
                              <w:t xml:space="preserve"> where care or other statutory responsibilities cannot be delivered safely</w:t>
                            </w:r>
                            <w:r w:rsidR="00B84A64">
                              <w:t>.  It should not be used to authorise blanket exemptions</w:t>
                            </w:r>
                            <w:r w:rsidR="002466F0">
                              <w:t xml:space="preserve">.  </w:t>
                            </w:r>
                            <w:r w:rsidR="002C4AD9">
                              <w:t xml:space="preserve">It is expected all infection, prevention and control </w:t>
                            </w:r>
                            <w:r w:rsidR="002F5DE1">
                              <w:t xml:space="preserve">(IPC) </w:t>
                            </w:r>
                            <w:r w:rsidR="002C4AD9">
                              <w:t>measure</w:t>
                            </w:r>
                            <w:r w:rsidR="002F5DE1">
                              <w:t>s</w:t>
                            </w:r>
                            <w:r w:rsidR="002C4AD9">
                              <w:t xml:space="preserve"> remain in place.  </w:t>
                            </w:r>
                          </w:p>
                          <w:p w14:paraId="2CC6D34C" w14:textId="2DC55BF6" w:rsidR="008E3E02" w:rsidRDefault="008E3E02" w:rsidP="008E3E02">
                            <w:pPr>
                              <w:pStyle w:val="NoSpacing"/>
                            </w:pPr>
                          </w:p>
                          <w:p w14:paraId="40FDD459" w14:textId="1B433CF8" w:rsidR="007B7E29" w:rsidRDefault="007B7E29" w:rsidP="007B7E2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The exceptionality of the situation needs to be recorded; </w:t>
                            </w:r>
                            <w:r w:rsidR="00E400A7">
                              <w:t xml:space="preserve">all </w:t>
                            </w:r>
                            <w:r>
                              <w:t>other business continuity measures should be implemented first</w:t>
                            </w:r>
                          </w:p>
                          <w:p w14:paraId="4A6FAD4A" w14:textId="2DD3804A" w:rsidR="00886905" w:rsidRDefault="00886905" w:rsidP="007B7E2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Robust IPC measures must be in place </w:t>
                            </w:r>
                          </w:p>
                          <w:p w14:paraId="68A65C57" w14:textId="0FF71737" w:rsidR="00AF7E19" w:rsidRDefault="00AF7E19" w:rsidP="00AF7E1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The exemption only applies to </w:t>
                            </w:r>
                            <w:r w:rsidR="002C4AD9">
                              <w:t>attending the workplace and travelling to and from it</w:t>
                            </w:r>
                            <w:r w:rsidR="002F5DE1">
                              <w:t xml:space="preserve"> outside of this individuals are expected to remain in isolation</w:t>
                            </w:r>
                          </w:p>
                          <w:p w14:paraId="52F46288" w14:textId="77777777" w:rsidR="002C4AD9" w:rsidRDefault="002C4AD9" w:rsidP="002C4AD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525C23">
                              <w:t xml:space="preserve">Careful consideration needs to be given to the concerns of other </w:t>
                            </w:r>
                            <w:r>
                              <w:t xml:space="preserve">professional colleagues, other </w:t>
                            </w:r>
                            <w:r w:rsidRPr="00525C23">
                              <w:t>members of staff, clients, and family members may have regarding a member of staff being exempted from self-isolation</w:t>
                            </w:r>
                          </w:p>
                          <w:p w14:paraId="6FB28CB1" w14:textId="75AC9B63" w:rsidR="00AF7E19" w:rsidRDefault="00AF7E19" w:rsidP="00AF7E1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Careful consideration should be given to the risk of onward transmission compared to the risk of delivery of critical services</w:t>
                            </w:r>
                            <w:r w:rsidR="008E3E02">
                              <w:t xml:space="preserve">.  The </w:t>
                            </w:r>
                            <w:r w:rsidR="002C4AD9">
                              <w:t>decision-making</w:t>
                            </w:r>
                            <w:r w:rsidR="008E3E02">
                              <w:t xml:space="preserve"> process should be documented clearly</w:t>
                            </w:r>
                          </w:p>
                          <w:p w14:paraId="6C4EC22D" w14:textId="272F345B" w:rsidR="002C4AD9" w:rsidRDefault="002C4AD9" w:rsidP="00AF7E1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There needs to be a record of the potential harm that may occur if the member of staff cannot attend the workplace</w:t>
                            </w:r>
                          </w:p>
                          <w:p w14:paraId="2FCC4701" w14:textId="2700FF4C" w:rsidR="00AF7E19" w:rsidRPr="00C5028D" w:rsidRDefault="00AF7E19" w:rsidP="00AF7E1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C5028D">
                              <w:t>There needs to be a record that an assessment of the likelihood of infection from the contact has been assessed (</w:t>
                            </w:r>
                            <w:proofErr w:type="spellStart"/>
                            <w:r w:rsidRPr="00C5028D">
                              <w:t>eg</w:t>
                            </w:r>
                            <w:proofErr w:type="spellEnd"/>
                            <w:r w:rsidRPr="00C5028D">
                              <w:t>, vaccinated, nature of exposure)</w:t>
                            </w:r>
                          </w:p>
                          <w:p w14:paraId="4ACCCFFF" w14:textId="77777777" w:rsidR="00AF7E19" w:rsidRPr="00C5028D" w:rsidRDefault="00AF7E19" w:rsidP="00AF7E1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C5028D">
                              <w:t>There needs to be a record of what mitigations will be in place to prevent onward infection if the person was to become a case (</w:t>
                            </w:r>
                            <w:proofErr w:type="spellStart"/>
                            <w:r w:rsidRPr="00C5028D">
                              <w:t>eg</w:t>
                            </w:r>
                            <w:proofErr w:type="spellEnd"/>
                            <w:r w:rsidRPr="00C5028D">
                              <w:t>, testing, PPE use, etc)</w:t>
                            </w:r>
                          </w:p>
                          <w:p w14:paraId="6C08A4FE" w14:textId="5E0871CD" w:rsidR="00AF7E19" w:rsidRPr="00C5028D" w:rsidRDefault="00AF7E19" w:rsidP="00C53F1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C5028D">
                              <w:t>There needs to be a record that mitigations have been put in place to protect the most vulnerable (including residents and staff) from a potentially harmful exposure (</w:t>
                            </w:r>
                            <w:proofErr w:type="spellStart"/>
                            <w:r w:rsidRPr="00C5028D">
                              <w:t>eg</w:t>
                            </w:r>
                            <w:proofErr w:type="spellEnd"/>
                            <w:r w:rsidRPr="00C5028D">
                              <w:t>, not working with immunocompromised etc)</w:t>
                            </w:r>
                          </w:p>
                          <w:p w14:paraId="5A40BBF4" w14:textId="480BDB6E" w:rsidR="00692E0E" w:rsidRPr="00C5028D" w:rsidRDefault="00692E0E" w:rsidP="00C53F1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C5028D">
                              <w:t xml:space="preserve">The member of staff who is isolating should not be required to </w:t>
                            </w:r>
                            <w:r w:rsidR="00BC2A19" w:rsidRPr="00C5028D">
                              <w:t>attend work if they wish to continue with their self-isolation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338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1.9pt;width:4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">
                <v:textbox style="mso-fit-shape-to-text:t">
                  <w:txbxContent>
                    <w:p w14:paraId="18485EF3" w14:textId="26212A36" w:rsidR="00AF7E19" w:rsidRPr="00266778" w:rsidRDefault="00AF7E19" w:rsidP="00AF7E19">
                      <w:r w:rsidRPr="00266778">
                        <w:rPr>
                          <w:b/>
                          <w:bCs/>
                        </w:rPr>
                        <w:t>Key principles</w:t>
                      </w:r>
                      <w:r>
                        <w:t>:</w:t>
                      </w:r>
                      <w:r w:rsidRPr="00266778">
                        <w:t xml:space="preserve"> </w:t>
                      </w:r>
                    </w:p>
                    <w:p w14:paraId="2B6F51EB" w14:textId="128C151C" w:rsidR="00AF7E19" w:rsidRPr="00C53F12" w:rsidRDefault="00AF7E19" w:rsidP="00C53F12">
                      <w:pPr>
                        <w:rPr>
                          <w:i/>
                          <w:iCs/>
                        </w:rPr>
                      </w:pPr>
                      <w:r>
                        <w:t>This is a case by case risk assessment</w:t>
                      </w:r>
                      <w:r w:rsidR="002466F0">
                        <w:t xml:space="preserve"> to cover contacts identified through NHS Test and Trace, the NHS Covid App </w:t>
                      </w:r>
                      <w:r w:rsidR="009970F0">
                        <w:t>and</w:t>
                      </w:r>
                      <w:r w:rsidR="002466F0">
                        <w:t xml:space="preserve"> other formal contact tracing routes.  </w:t>
                      </w:r>
                      <w:r>
                        <w:t xml:space="preserve"> </w:t>
                      </w:r>
                      <w:r w:rsidR="00D75F94" w:rsidRPr="00D474BD">
                        <w:t xml:space="preserve">This risk assessment </w:t>
                      </w:r>
                      <w:r w:rsidR="00B84A64">
                        <w:t>sh</w:t>
                      </w:r>
                      <w:r w:rsidR="00D75F94" w:rsidRPr="00D474BD">
                        <w:t>ould only be used in exceptional circumstances</w:t>
                      </w:r>
                      <w:r w:rsidR="005F49B4" w:rsidRPr="00D474BD">
                        <w:t xml:space="preserve">, </w:t>
                      </w:r>
                      <w:proofErr w:type="spellStart"/>
                      <w:r w:rsidR="005F49B4" w:rsidRPr="00D474BD">
                        <w:t>eg</w:t>
                      </w:r>
                      <w:proofErr w:type="spellEnd"/>
                      <w:r w:rsidR="005F49B4" w:rsidRPr="00D474BD">
                        <w:t>,</w:t>
                      </w:r>
                      <w:r w:rsidR="00D75F94" w:rsidRPr="00D474BD">
                        <w:t xml:space="preserve"> where care or other statutory responsibilities cannot be delivered safely</w:t>
                      </w:r>
                      <w:r w:rsidR="00B84A64">
                        <w:t>.  It should not be used to authorise blanket exemptions</w:t>
                      </w:r>
                      <w:r w:rsidR="002466F0">
                        <w:t xml:space="preserve">.  </w:t>
                      </w:r>
                      <w:r w:rsidR="002C4AD9">
                        <w:t xml:space="preserve">It is expected all infection, prevention and control </w:t>
                      </w:r>
                      <w:r w:rsidR="002F5DE1">
                        <w:t xml:space="preserve">(IPC) </w:t>
                      </w:r>
                      <w:r w:rsidR="002C4AD9">
                        <w:t>measure</w:t>
                      </w:r>
                      <w:r w:rsidR="002F5DE1">
                        <w:t>s</w:t>
                      </w:r>
                      <w:r w:rsidR="002C4AD9">
                        <w:t xml:space="preserve"> remain in place.  </w:t>
                      </w:r>
                    </w:p>
                    <w:p w14:paraId="2CC6D34C" w14:textId="2DC55BF6" w:rsidR="008E3E02" w:rsidRDefault="008E3E02" w:rsidP="008E3E02">
                      <w:pPr>
                        <w:pStyle w:val="NoSpacing"/>
                      </w:pPr>
                    </w:p>
                    <w:p w14:paraId="40FDD459" w14:textId="1B433CF8" w:rsidR="007B7E29" w:rsidRDefault="007B7E29" w:rsidP="007B7E2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>
                        <w:t xml:space="preserve">The exceptionality of the situation needs to be recorded; </w:t>
                      </w:r>
                      <w:r w:rsidR="00E400A7">
                        <w:t xml:space="preserve">all </w:t>
                      </w:r>
                      <w:r>
                        <w:t>other business continuity measures should be implemented first</w:t>
                      </w:r>
                    </w:p>
                    <w:p w14:paraId="4A6FAD4A" w14:textId="2DD3804A" w:rsidR="00886905" w:rsidRDefault="00886905" w:rsidP="007B7E2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>
                        <w:t xml:space="preserve">Robust IPC measures must be in place </w:t>
                      </w:r>
                    </w:p>
                    <w:p w14:paraId="68A65C57" w14:textId="0FF71737" w:rsidR="00AF7E19" w:rsidRDefault="00AF7E19" w:rsidP="00AF7E1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>
                        <w:t xml:space="preserve">The exemption only applies to </w:t>
                      </w:r>
                      <w:r w:rsidR="002C4AD9">
                        <w:t>attending the workplace and travelling to and from it</w:t>
                      </w:r>
                      <w:r w:rsidR="002F5DE1">
                        <w:t xml:space="preserve"> outside of </w:t>
                      </w:r>
                      <w:proofErr w:type="gramStart"/>
                      <w:r w:rsidR="002F5DE1">
                        <w:t>this individuals</w:t>
                      </w:r>
                      <w:proofErr w:type="gramEnd"/>
                      <w:r w:rsidR="002F5DE1">
                        <w:t xml:space="preserve"> are expected to remain in isolation</w:t>
                      </w:r>
                    </w:p>
                    <w:p w14:paraId="52F46288" w14:textId="77777777" w:rsidR="002C4AD9" w:rsidRDefault="002C4AD9" w:rsidP="002C4AD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525C23">
                        <w:t xml:space="preserve">Careful consideration needs to be given to the concerns of other </w:t>
                      </w:r>
                      <w:r>
                        <w:t xml:space="preserve">professional colleagues, other </w:t>
                      </w:r>
                      <w:r w:rsidRPr="00525C23">
                        <w:t>members of staff, clients, and family members may have regarding a member of staff being exempted from self-isolation</w:t>
                      </w:r>
                    </w:p>
                    <w:p w14:paraId="6FB28CB1" w14:textId="75AC9B63" w:rsidR="00AF7E19" w:rsidRDefault="00AF7E19" w:rsidP="00AF7E1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>
                        <w:t>Careful consideration should be given to the risk of onward transmission compared to the risk of delivery of critical services</w:t>
                      </w:r>
                      <w:r w:rsidR="008E3E02">
                        <w:t xml:space="preserve">.  The </w:t>
                      </w:r>
                      <w:r w:rsidR="002C4AD9">
                        <w:t>decision-making</w:t>
                      </w:r>
                      <w:r w:rsidR="008E3E02">
                        <w:t xml:space="preserve"> process should be documented clearly</w:t>
                      </w:r>
                    </w:p>
                    <w:p w14:paraId="6C4EC22D" w14:textId="272F345B" w:rsidR="002C4AD9" w:rsidRDefault="002C4AD9" w:rsidP="00AF7E1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>
                        <w:t>There needs to be a record of the potential harm that may occur if the member of staff cannot attend the workplace</w:t>
                      </w:r>
                    </w:p>
                    <w:p w14:paraId="2FCC4701" w14:textId="2700FF4C" w:rsidR="00AF7E19" w:rsidRPr="00C5028D" w:rsidRDefault="00AF7E19" w:rsidP="00AF7E1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C5028D">
                        <w:t>There needs to be a record that an assessment of the likelihood of infection from the contact has been assessed (</w:t>
                      </w:r>
                      <w:proofErr w:type="spellStart"/>
                      <w:r w:rsidRPr="00C5028D">
                        <w:t>eg</w:t>
                      </w:r>
                      <w:proofErr w:type="spellEnd"/>
                      <w:r w:rsidRPr="00C5028D">
                        <w:t>, vaccinated, nature of exposure)</w:t>
                      </w:r>
                    </w:p>
                    <w:p w14:paraId="4ACCCFFF" w14:textId="77777777" w:rsidR="00AF7E19" w:rsidRPr="00C5028D" w:rsidRDefault="00AF7E19" w:rsidP="00AF7E19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C5028D">
                        <w:t>There needs to be a record of what mitigations will be in place to prevent onward infection if the person was to become a case (</w:t>
                      </w:r>
                      <w:proofErr w:type="spellStart"/>
                      <w:r w:rsidRPr="00C5028D">
                        <w:t>eg</w:t>
                      </w:r>
                      <w:proofErr w:type="spellEnd"/>
                      <w:r w:rsidRPr="00C5028D">
                        <w:t>, testing, PPE use, etc)</w:t>
                      </w:r>
                    </w:p>
                    <w:p w14:paraId="6C08A4FE" w14:textId="5E0871CD" w:rsidR="00AF7E19" w:rsidRPr="00C5028D" w:rsidRDefault="00AF7E19" w:rsidP="00C53F1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C5028D">
                        <w:t>There needs to be a record that mitigations have been put in place to protect the most vulnerable (including residents and staff) from a potentially harmful exposure (</w:t>
                      </w:r>
                      <w:proofErr w:type="spellStart"/>
                      <w:r w:rsidRPr="00C5028D">
                        <w:t>eg</w:t>
                      </w:r>
                      <w:proofErr w:type="spellEnd"/>
                      <w:r w:rsidRPr="00C5028D">
                        <w:t>, not working with immunocompromised etc)</w:t>
                      </w:r>
                    </w:p>
                    <w:p w14:paraId="5A40BBF4" w14:textId="480BDB6E" w:rsidR="00692E0E" w:rsidRPr="00C5028D" w:rsidRDefault="00692E0E" w:rsidP="00C53F1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C5028D">
                        <w:t xml:space="preserve">The member of staff who is isolating should not be required to </w:t>
                      </w:r>
                      <w:r w:rsidR="00BC2A19" w:rsidRPr="00C5028D">
                        <w:t>attend work if they wish to continue with their self-isolation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C2934" w14:textId="1D0FCA06" w:rsidR="00AF7E19" w:rsidRPr="00525C23" w:rsidRDefault="00AF7E19" w:rsidP="00F96E03"/>
    <w:p w14:paraId="016D203E" w14:textId="3D970457" w:rsidR="00AF7E19" w:rsidRPr="00525C23" w:rsidRDefault="00AF7E19" w:rsidP="00F96E03"/>
    <w:p w14:paraId="36B7693E" w14:textId="74DA2726" w:rsidR="002918EC" w:rsidRPr="00525C23" w:rsidRDefault="002918EC" w:rsidP="002918EC">
      <w:pPr>
        <w:jc w:val="center"/>
        <w:rPr>
          <w:rFonts w:eastAsia="Calibri" w:cs="Arial"/>
          <w:u w:val="single"/>
        </w:rPr>
      </w:pPr>
    </w:p>
    <w:p w14:paraId="701CD091" w14:textId="77777777" w:rsidR="009612FD" w:rsidRPr="00525C23" w:rsidRDefault="009612FD" w:rsidP="002918EC">
      <w:pPr>
        <w:jc w:val="center"/>
        <w:rPr>
          <w:rFonts w:eastAsia="Calibri" w:cs="Arial"/>
          <w:u w:val="single"/>
        </w:rPr>
      </w:pPr>
    </w:p>
    <w:p w14:paraId="500D95E5" w14:textId="343C4596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07466BB4" w14:textId="339E948F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65B60651" w14:textId="131D3F80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6419BE75" w14:textId="4AAC67BE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5314CAAD" w14:textId="5FB022D7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033583B3" w14:textId="370A2B97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1C37173A" w14:textId="0882CE9C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1D3CF58A" w14:textId="46A471D2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2DAF5218" w14:textId="39ED1D2A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5884A1CF" w14:textId="73405BF6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0714DD70" w14:textId="16EEE33B" w:rsidR="00F37550" w:rsidRPr="00525C23" w:rsidRDefault="00F37550" w:rsidP="00F37550">
      <w:pPr>
        <w:ind w:left="720"/>
        <w:contextualSpacing/>
        <w:rPr>
          <w:rFonts w:eastAsia="Calibri" w:cs="Arial"/>
        </w:rPr>
      </w:pPr>
    </w:p>
    <w:p w14:paraId="65901098" w14:textId="5BD185D6" w:rsidR="00B06F67" w:rsidRPr="00525C23" w:rsidRDefault="00B06F67" w:rsidP="00F37550">
      <w:pPr>
        <w:ind w:left="720"/>
        <w:contextualSpacing/>
        <w:rPr>
          <w:rFonts w:eastAsia="Calibri" w:cs="Arial"/>
        </w:rPr>
      </w:pPr>
    </w:p>
    <w:p w14:paraId="62FE38C1" w14:textId="77777777" w:rsidR="00BC2A19" w:rsidRPr="00525C23" w:rsidRDefault="00BC2A19" w:rsidP="00F37550">
      <w:pPr>
        <w:ind w:left="720"/>
        <w:contextualSpacing/>
        <w:rPr>
          <w:rFonts w:eastAsia="Calibri" w:cs="Arial"/>
        </w:rPr>
      </w:pPr>
    </w:p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3588"/>
        <w:gridCol w:w="1843"/>
      </w:tblGrid>
      <w:tr w:rsidR="00525C23" w:rsidRPr="00525C23" w14:paraId="43353835" w14:textId="77777777" w:rsidTr="00504E56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7387FE57" w14:textId="77777777" w:rsidR="00B06F67" w:rsidRPr="00525C23" w:rsidRDefault="00B06F67" w:rsidP="00B06F67">
            <w:pPr>
              <w:ind w:left="720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  </w:t>
            </w:r>
            <w:r w:rsidRPr="00525C23">
              <w:rPr>
                <w:rFonts w:eastAsia="Calibri" w:cs="Arial"/>
                <w:b/>
                <w:bCs/>
              </w:rPr>
              <w:t>Risk Assessment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3947D2EC" w14:textId="77777777" w:rsidTr="00504E56"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A129B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Employee name:</w:t>
            </w:r>
            <w:r w:rsidRPr="00525C23">
              <w:rPr>
                <w:rFonts w:eastAsia="Calibri" w:cs="Arial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8BDD7" w14:textId="77777777" w:rsidR="00B06F67" w:rsidRPr="00525C23" w:rsidRDefault="00B06F67" w:rsidP="00B06F67">
            <w:pPr>
              <w:ind w:left="720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Employee role: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972146" w:rsidRPr="00525C23" w14:paraId="3176FFE4" w14:textId="77777777" w:rsidTr="00F975D9">
        <w:tc>
          <w:tcPr>
            <w:tcW w:w="97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D0E7" w14:textId="50677833" w:rsidR="00972146" w:rsidRPr="00525C23" w:rsidRDefault="00972146" w:rsidP="00972146">
            <w:pPr>
              <w:contextualSpacing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         Name of organisation:</w:t>
            </w:r>
          </w:p>
        </w:tc>
      </w:tr>
      <w:tr w:rsidR="00525C23" w:rsidRPr="00525C23" w14:paraId="0B7B3337" w14:textId="77777777" w:rsidTr="00504E56"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37E34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Assessment date:</w:t>
            </w:r>
            <w:r w:rsidRPr="00525C23">
              <w:rPr>
                <w:rFonts w:eastAsia="Calibri" w:cs="Arial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D5BE5" w14:textId="77777777" w:rsidR="00B06F67" w:rsidRPr="00525C23" w:rsidRDefault="00B06F67" w:rsidP="00B06F67">
            <w:pPr>
              <w:ind w:left="720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Contact details: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0DD716A7" w14:textId="77777777" w:rsidTr="00504E56">
        <w:tc>
          <w:tcPr>
            <w:tcW w:w="97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6641F" w14:textId="0B17B9BB" w:rsidR="00A6346F" w:rsidRPr="00525C23" w:rsidRDefault="00A6346F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Date </w:t>
            </w:r>
            <w:r w:rsidR="002C4AD9">
              <w:rPr>
                <w:rFonts w:eastAsia="Calibri" w:cs="Arial"/>
              </w:rPr>
              <w:t>isolation</w:t>
            </w:r>
            <w:r w:rsidRPr="00525C23">
              <w:rPr>
                <w:rFonts w:eastAsia="Calibri" w:cs="Arial"/>
              </w:rPr>
              <w:t xml:space="preserve"> notification received:</w:t>
            </w:r>
          </w:p>
          <w:p w14:paraId="1028F1F6" w14:textId="6223C545" w:rsidR="00A6346F" w:rsidRPr="00525C23" w:rsidRDefault="00A6346F" w:rsidP="00A6346F">
            <w:pPr>
              <w:ind w:left="426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</w:rPr>
              <w:t>Date member of staff able to come out of self-isolation:</w:t>
            </w:r>
          </w:p>
        </w:tc>
      </w:tr>
      <w:tr w:rsidR="00525C23" w:rsidRPr="00525C23" w14:paraId="5D631B4E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825A" w14:textId="7A122FB5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Is there a risk to health</w:t>
            </w:r>
            <w:r w:rsidR="009970F0">
              <w:rPr>
                <w:rFonts w:eastAsia="Calibri" w:cs="Arial"/>
              </w:rPr>
              <w:t xml:space="preserve"> or safety, </w:t>
            </w:r>
            <w:r w:rsidR="009970F0" w:rsidRPr="00525C23">
              <w:rPr>
                <w:rFonts w:eastAsia="Calibri" w:cs="Arial"/>
              </w:rPr>
              <w:t>or</w:t>
            </w:r>
            <w:r w:rsidRPr="00525C23">
              <w:rPr>
                <w:rFonts w:eastAsia="Calibri" w:cs="Arial"/>
              </w:rPr>
              <w:t xml:space="preserve"> the safety of providing continuing clinical or care </w:t>
            </w:r>
            <w:r w:rsidR="009970F0" w:rsidRPr="00525C23">
              <w:rPr>
                <w:rFonts w:eastAsia="Calibri" w:cs="Arial"/>
              </w:rPr>
              <w:t>services (</w:t>
            </w:r>
            <w:r w:rsidRPr="00525C23">
              <w:rPr>
                <w:rFonts w:eastAsia="Calibri" w:cs="Arial"/>
              </w:rPr>
              <w:t>or other critical services) resulting from this member of staff being absent during their isolation period?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D611C" w14:textId="77777777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6F61F00F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0E66B" w14:textId="78496DB7" w:rsidR="00B06F67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Have all other business continuity plans been actioned</w:t>
            </w:r>
            <w:r w:rsidR="009970F0">
              <w:rPr>
                <w:rFonts w:eastAsia="Calibri" w:cs="Arial"/>
              </w:rPr>
              <w:t>,</w:t>
            </w:r>
            <w:r w:rsidRPr="00525C23">
              <w:rPr>
                <w:rFonts w:eastAsia="Calibri" w:cs="Arial"/>
              </w:rPr>
              <w:t xml:space="preserve"> and all other options </w:t>
            </w:r>
            <w:r w:rsidR="002F5DE1" w:rsidRPr="00525C23">
              <w:rPr>
                <w:rFonts w:eastAsia="Calibri" w:cs="Arial"/>
              </w:rPr>
              <w:t>explored leaving</w:t>
            </w:r>
            <w:r w:rsidRPr="00525C23">
              <w:rPr>
                <w:rFonts w:eastAsia="Calibri" w:cs="Arial"/>
              </w:rPr>
              <w:t> </w:t>
            </w:r>
            <w:r w:rsidR="009970F0">
              <w:rPr>
                <w:rFonts w:eastAsia="Calibri" w:cs="Arial"/>
              </w:rPr>
              <w:t>returning this member of staff to the workplace</w:t>
            </w:r>
            <w:r w:rsidRPr="00525C23">
              <w:rPr>
                <w:rFonts w:eastAsia="Calibri" w:cs="Arial"/>
              </w:rPr>
              <w:t xml:space="preserve"> as the only option? </w:t>
            </w:r>
            <w:r w:rsidR="00352A48" w:rsidRPr="00525C23">
              <w:rPr>
                <w:rFonts w:eastAsia="Calibri" w:cs="Arial"/>
              </w:rPr>
              <w:t xml:space="preserve"> </w:t>
            </w:r>
          </w:p>
          <w:p w14:paraId="3E1B58A7" w14:textId="4DAAE100" w:rsidR="002C4AD9" w:rsidRPr="00525C23" w:rsidRDefault="002C4AD9" w:rsidP="00A6346F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(please provide documentation</w:t>
            </w:r>
            <w:r w:rsidR="009970F0">
              <w:rPr>
                <w:rFonts w:eastAsia="Calibri" w:cs="Arial"/>
              </w:rPr>
              <w:t xml:space="preserve"> to evidence this</w:t>
            </w:r>
            <w:r>
              <w:rPr>
                <w:rFonts w:eastAsia="Calibri" w:cs="Aria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4C5ED" w14:textId="77777777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  <w:p w14:paraId="2FC9E4F9" w14:textId="77777777" w:rsidR="00B06F67" w:rsidRPr="00525C23" w:rsidRDefault="00B06F67" w:rsidP="00B06F67">
            <w:pPr>
              <w:ind w:left="720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295133A9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353DB" w14:textId="3C2F1F2F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Please </w:t>
            </w:r>
            <w:r w:rsidR="002C4AD9">
              <w:rPr>
                <w:rFonts w:eastAsia="Calibri" w:cs="Arial"/>
              </w:rPr>
              <w:t xml:space="preserve">provide </w:t>
            </w:r>
            <w:r w:rsidR="00E409E6">
              <w:rPr>
                <w:rFonts w:eastAsia="Calibri" w:cs="Arial"/>
              </w:rPr>
              <w:t xml:space="preserve">full </w:t>
            </w:r>
            <w:r w:rsidR="002C4AD9">
              <w:rPr>
                <w:rFonts w:eastAsia="Calibri" w:cs="Arial"/>
              </w:rPr>
              <w:t xml:space="preserve">details of </w:t>
            </w:r>
            <w:r w:rsidRPr="00525C23">
              <w:rPr>
                <w:rFonts w:eastAsia="Calibri" w:cs="Arial"/>
              </w:rPr>
              <w:t>the potential harm that may arise from this person not</w:t>
            </w:r>
            <w:r w:rsidR="002C4AD9">
              <w:rPr>
                <w:rFonts w:eastAsia="Calibri" w:cs="Arial"/>
              </w:rPr>
              <w:t xml:space="preserve"> attending the workpl</w:t>
            </w:r>
            <w:r w:rsidR="004F3238">
              <w:rPr>
                <w:rFonts w:eastAsia="Calibri" w:cs="Arial"/>
              </w:rPr>
              <w:t>a</w:t>
            </w:r>
            <w:r w:rsidR="002C4AD9">
              <w:rPr>
                <w:rFonts w:eastAsia="Calibri" w:cs="Arial"/>
              </w:rPr>
              <w:t>ce</w:t>
            </w:r>
            <w:r w:rsidRPr="00525C23">
              <w:rPr>
                <w:rFonts w:eastAsia="Calibri" w:cs="Arial"/>
              </w:rPr>
              <w:t xml:space="preserve"> during their isolation period </w:t>
            </w:r>
          </w:p>
          <w:p w14:paraId="00F4BB53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  <w:p w14:paraId="47C30C8F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  <w:p w14:paraId="20C5A6A4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  <w:p w14:paraId="5996949A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  <w:p w14:paraId="00CFCC8A" w14:textId="77777777" w:rsidR="00B06F67" w:rsidRPr="00525C23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66F86" w14:textId="77777777" w:rsidR="00B06F67" w:rsidRPr="00525C23" w:rsidRDefault="00B06F67" w:rsidP="00B06F67">
            <w:pPr>
              <w:ind w:left="720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6281BEF5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0318E" w14:textId="77777777" w:rsidR="00B06F67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Has employee had </w:t>
            </w:r>
            <w:r w:rsidR="002C4AD9">
              <w:rPr>
                <w:rFonts w:eastAsia="Calibri" w:cs="Arial"/>
              </w:rPr>
              <w:t>two MHRA approved</w:t>
            </w:r>
            <w:r w:rsidRPr="00525C23">
              <w:rPr>
                <w:rFonts w:eastAsia="Calibri" w:cs="Arial"/>
              </w:rPr>
              <w:t xml:space="preserve"> Covid vaccinations</w:t>
            </w:r>
            <w:r w:rsidR="00852027" w:rsidRPr="00525C23">
              <w:rPr>
                <w:rFonts w:eastAsia="Calibri" w:cs="Arial"/>
              </w:rPr>
              <w:t xml:space="preserve"> and was the second vaccination at least 14 days before the date of contact</w:t>
            </w:r>
            <w:r w:rsidR="00280523" w:rsidRPr="00525C23">
              <w:rPr>
                <w:rFonts w:eastAsia="Calibri" w:cs="Arial"/>
              </w:rPr>
              <w:t xml:space="preserve"> </w:t>
            </w:r>
          </w:p>
          <w:p w14:paraId="2B37A061" w14:textId="4D3BF20B" w:rsidR="009970F0" w:rsidRPr="00525C23" w:rsidRDefault="009970F0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Date of vaccination</w:t>
            </w:r>
            <w:r w:rsidR="00A4504B">
              <w:rPr>
                <w:rFonts w:eastAsia="Calibri" w:cs="Arial"/>
              </w:rPr>
              <w:t xml:space="preserve"> and batch number</w:t>
            </w:r>
            <w:r w:rsidRPr="00525C23">
              <w:rPr>
                <w:rFonts w:eastAsia="Calibri" w:cs="Arial"/>
              </w:rPr>
              <w:t xml:space="preserve"> 1: </w:t>
            </w:r>
            <w:r w:rsidRPr="00525C23">
              <w:rPr>
                <w:rFonts w:eastAsia="Calibri" w:cs="Arial"/>
              </w:rPr>
              <w:br/>
              <w:t>Date of Vaccination</w:t>
            </w:r>
            <w:r w:rsidR="00A4504B">
              <w:rPr>
                <w:rFonts w:eastAsia="Calibri" w:cs="Arial"/>
              </w:rPr>
              <w:t xml:space="preserve"> and batch number</w:t>
            </w:r>
            <w:r w:rsidRPr="00525C23">
              <w:rPr>
                <w:rFonts w:eastAsia="Calibri" w:cs="Arial"/>
              </w:rPr>
              <w:t xml:space="preserve"> 2</w:t>
            </w:r>
            <w:r w:rsidR="00A4504B">
              <w:rPr>
                <w:rFonts w:eastAsia="Calibri" w:cs="Arial"/>
              </w:rPr>
              <w:t>:</w:t>
            </w:r>
            <w:r w:rsidRPr="00525C23">
              <w:rPr>
                <w:rFonts w:eastAsia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075BE" w14:textId="77777777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04992D01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D813E" w14:textId="481E38E7" w:rsidR="007364C0" w:rsidRPr="00525C23" w:rsidRDefault="007364C0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Have you seen evidence of their vaccinations </w:t>
            </w:r>
            <w:r w:rsidR="00280523" w:rsidRPr="00525C23">
              <w:rPr>
                <w:rFonts w:eastAsia="Calibri" w:cs="Arial"/>
              </w:rPr>
              <w:t>(a screen shot of the NHS App which contains the individual vaccination status or a photograph of their vaccination card)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40B7A" w14:textId="29AB7DB9" w:rsidR="007364C0" w:rsidRPr="00525C23" w:rsidRDefault="002C4AD9" w:rsidP="002C4AD9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</w:p>
        </w:tc>
      </w:tr>
      <w:tr w:rsidR="00525C23" w:rsidRPr="00525C23" w14:paraId="69EAA9EC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4C588" w14:textId="66587CEC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nature and context of the exposure may impact the likelihood of the contact going on to get </w:t>
            </w:r>
            <w:r w:rsidR="009970F0">
              <w:rPr>
                <w:rFonts w:eastAsia="Calibri" w:cs="Arial"/>
              </w:rPr>
              <w:t>infected, which</w:t>
            </w:r>
            <w:r>
              <w:rPr>
                <w:rFonts w:eastAsia="Calibri" w:cs="Arial"/>
              </w:rPr>
              <w:t xml:space="preserve"> will impact the balance of risk. </w:t>
            </w:r>
            <w:r w:rsidR="00886905">
              <w:rPr>
                <w:rFonts w:eastAsia="Calibri" w:cs="Arial"/>
              </w:rPr>
              <w:t xml:space="preserve"> </w:t>
            </w:r>
            <w:r w:rsidR="002F5DE1">
              <w:rPr>
                <w:rFonts w:eastAsia="Calibri" w:cs="Arial"/>
              </w:rPr>
              <w:t>(</w:t>
            </w:r>
            <w:r w:rsidR="00886905">
              <w:rPr>
                <w:rFonts w:eastAsia="Calibri" w:cs="Arial"/>
              </w:rPr>
              <w:t>Please refer to guidance documents linked above)</w:t>
            </w:r>
          </w:p>
          <w:p w14:paraId="76CE5F61" w14:textId="4BCE1606" w:rsidR="009B772E" w:rsidRDefault="009B772E" w:rsidP="00A6346F">
            <w:pPr>
              <w:ind w:left="426"/>
              <w:contextualSpacing/>
              <w:rPr>
                <w:rFonts w:eastAsia="Calibri" w:cs="Arial"/>
                <w:i/>
                <w:iCs/>
                <w:sz w:val="18"/>
                <w:szCs w:val="18"/>
              </w:rPr>
            </w:pPr>
            <w:r>
              <w:rPr>
                <w:rFonts w:eastAsia="Calibri" w:cs="Arial"/>
              </w:rPr>
              <w:t xml:space="preserve">Please document what is known about the nature of the contact and the setting in which it occurred. </w:t>
            </w:r>
            <w:r w:rsidR="00E409E6">
              <w:rPr>
                <w:rFonts w:eastAsia="Calibri" w:cs="Arial"/>
              </w:rPr>
              <w:t xml:space="preserve"> 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It is important to include whether the contact was with a household member.  </w:t>
            </w:r>
            <w:r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In NHS settings, where the contact was 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with </w:t>
            </w:r>
            <w:r w:rsidR="00E409E6">
              <w:rPr>
                <w:rFonts w:eastAsia="Calibri" w:cs="Arial"/>
                <w:i/>
                <w:iCs/>
                <w:sz w:val="18"/>
                <w:szCs w:val="18"/>
              </w:rPr>
              <w:t>someone from</w:t>
            </w:r>
            <w:r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 the 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staff member’s </w:t>
            </w:r>
            <w:r w:rsidRPr="00E409E6">
              <w:rPr>
                <w:rFonts w:eastAsia="Calibri" w:cs="Arial"/>
                <w:i/>
                <w:iCs/>
                <w:sz w:val="18"/>
                <w:szCs w:val="18"/>
              </w:rPr>
              <w:t>household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, </w:t>
            </w:r>
            <w:r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the contact will not be eligible for this </w:t>
            </w:r>
            <w:r w:rsidR="002F5DE1" w:rsidRPr="00E409E6">
              <w:rPr>
                <w:rFonts w:eastAsia="Calibri" w:cs="Arial"/>
                <w:i/>
                <w:iCs/>
                <w:sz w:val="18"/>
                <w:szCs w:val="18"/>
              </w:rPr>
              <w:t>risk asses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sed </w:t>
            </w:r>
            <w:r w:rsidR="009970F0" w:rsidRPr="00E409E6">
              <w:rPr>
                <w:rFonts w:eastAsia="Calibri" w:cs="Arial"/>
                <w:i/>
                <w:iCs/>
                <w:sz w:val="18"/>
                <w:szCs w:val="18"/>
              </w:rPr>
              <w:t>exemption process</w:t>
            </w:r>
            <w:r w:rsidR="002F5DE1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 and must</w:t>
            </w:r>
            <w:r w:rsid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 continue </w:t>
            </w:r>
            <w:r w:rsidR="009970F0">
              <w:rPr>
                <w:rFonts w:eastAsia="Calibri" w:cs="Arial"/>
                <w:i/>
                <w:iCs/>
                <w:sz w:val="18"/>
                <w:szCs w:val="18"/>
              </w:rPr>
              <w:t xml:space="preserve">to </w:t>
            </w:r>
            <w:r w:rsidR="009970F0" w:rsidRPr="00E409E6">
              <w:rPr>
                <w:rFonts w:eastAsia="Calibri" w:cs="Arial"/>
                <w:i/>
                <w:iCs/>
                <w:sz w:val="18"/>
                <w:szCs w:val="18"/>
              </w:rPr>
              <w:t>isolate</w:t>
            </w:r>
            <w:r w:rsidR="00E409E6" w:rsidRPr="00E409E6">
              <w:rPr>
                <w:rFonts w:eastAsia="Calibri" w:cs="Arial"/>
                <w:i/>
                <w:iCs/>
                <w:sz w:val="18"/>
                <w:szCs w:val="18"/>
              </w:rPr>
              <w:t xml:space="preserve">. </w:t>
            </w:r>
          </w:p>
          <w:p w14:paraId="26782BC2" w14:textId="77777777" w:rsidR="00E409E6" w:rsidRPr="00E409E6" w:rsidRDefault="00E409E6" w:rsidP="00A6346F">
            <w:pPr>
              <w:ind w:left="426"/>
              <w:contextualSpacing/>
              <w:rPr>
                <w:rFonts w:eastAsia="Calibri" w:cs="Arial"/>
                <w:i/>
                <w:iCs/>
                <w:sz w:val="18"/>
                <w:szCs w:val="18"/>
              </w:rPr>
            </w:pPr>
          </w:p>
          <w:p w14:paraId="0C242D5D" w14:textId="62ED0420" w:rsidR="00E409E6" w:rsidRDefault="00E409E6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39C43A6F" w14:textId="77777777" w:rsidR="00E409E6" w:rsidRPr="00E409E6" w:rsidRDefault="00E409E6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4CA72825" w14:textId="08C515F5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0BE81F1D" w14:textId="62FE5D78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5354BECD" w14:textId="77777777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1E7EB2D1" w14:textId="7D9ECBA5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4FF78355" w14:textId="65764099" w:rsidR="009B772E" w:rsidRDefault="009B772E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7E0126F1" w14:textId="0501415C" w:rsidR="00C7094F" w:rsidRPr="00525C23" w:rsidRDefault="00C7094F" w:rsidP="009B772E">
            <w:pPr>
              <w:ind w:left="426"/>
              <w:contextualSpacing/>
              <w:rPr>
                <w:rFonts w:eastAsia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FF6C5" w14:textId="6F208ABF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</w:p>
        </w:tc>
      </w:tr>
      <w:tr w:rsidR="00525C23" w:rsidRPr="00525C23" w14:paraId="090278C5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238C" w14:textId="2DBA867D" w:rsidR="00B06F67" w:rsidRDefault="00B06F6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If employee continues to </w:t>
            </w:r>
            <w:r w:rsidR="009B772E">
              <w:rPr>
                <w:rFonts w:eastAsia="Calibri" w:cs="Arial"/>
              </w:rPr>
              <w:t xml:space="preserve">attend </w:t>
            </w:r>
            <w:r w:rsidRPr="00525C23">
              <w:rPr>
                <w:rFonts w:eastAsia="Calibri" w:cs="Arial"/>
              </w:rPr>
              <w:t xml:space="preserve">work, are they able to be located away from </w:t>
            </w:r>
            <w:r w:rsidR="009B772E">
              <w:rPr>
                <w:rFonts w:eastAsia="Calibri" w:cs="Arial"/>
              </w:rPr>
              <w:t xml:space="preserve">clinically </w:t>
            </w:r>
            <w:r w:rsidRPr="00525C23">
              <w:rPr>
                <w:rFonts w:eastAsia="Calibri" w:cs="Arial"/>
              </w:rPr>
              <w:t xml:space="preserve">vulnerable </w:t>
            </w:r>
            <w:r w:rsidR="00886905">
              <w:rPr>
                <w:rFonts w:eastAsia="Calibri" w:cs="Arial"/>
              </w:rPr>
              <w:t>colleagues/</w:t>
            </w:r>
            <w:r w:rsidRPr="00525C23">
              <w:rPr>
                <w:rFonts w:eastAsia="Calibri" w:cs="Arial"/>
              </w:rPr>
              <w:t>clients/patients/residents? (May need to move other staff) </w:t>
            </w:r>
          </w:p>
          <w:p w14:paraId="42213848" w14:textId="77777777" w:rsidR="002F5DE1" w:rsidRDefault="00B5606B" w:rsidP="00AD4809">
            <w:pPr>
              <w:ind w:left="426"/>
            </w:pPr>
            <w:hyperlink r:id="rId13" w:history="1">
              <w:r w:rsidR="002F5DE1">
                <w:rPr>
                  <w:rStyle w:val="Hyperlink"/>
                </w:rPr>
                <w:t>https://www.nhs.uk/conditions/coronavirus-covid-19/people-at-higher-risk/who-is-at-high-risk-from-coronavirus-clinically-extremely-vulnerable/</w:t>
              </w:r>
            </w:hyperlink>
            <w:r w:rsidR="002F5DE1">
              <w:t xml:space="preserve"> </w:t>
            </w:r>
          </w:p>
          <w:p w14:paraId="6B99BAAF" w14:textId="71BA0D2F" w:rsidR="002F5DE1" w:rsidRPr="00525C23" w:rsidRDefault="002F5DE1" w:rsidP="00A6346F">
            <w:pPr>
              <w:ind w:left="426"/>
              <w:contextualSpacing/>
              <w:rPr>
                <w:rFonts w:eastAsia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BF31" w14:textId="77777777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lastRenderedPageBreak/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480D5EE4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985B" w14:textId="3F7316CE" w:rsidR="00852027" w:rsidRPr="00525C23" w:rsidRDefault="00852027" w:rsidP="00852027">
            <w:pPr>
              <w:ind w:left="426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lastRenderedPageBreak/>
              <w:t>Recommendation</w:t>
            </w:r>
            <w:r w:rsidR="00C64487" w:rsidRPr="00525C23">
              <w:rPr>
                <w:rFonts w:eastAsia="Calibri" w:cs="Arial"/>
                <w:b/>
                <w:bCs/>
              </w:rPr>
              <w:t>:</w:t>
            </w:r>
          </w:p>
          <w:p w14:paraId="66708AB4" w14:textId="621A75F6" w:rsidR="00E409E6" w:rsidRDefault="00E409E6" w:rsidP="00852027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take into account all the evidence provided including the supplementary evidence and the responses to all the questions above before making a recommendation.  If any question has been answered “No” then this staff member will not be suitable for exemption. </w:t>
            </w:r>
          </w:p>
          <w:p w14:paraId="5FB580B8" w14:textId="77777777" w:rsidR="00E409E6" w:rsidRDefault="00E409E6" w:rsidP="00852027">
            <w:pPr>
              <w:ind w:left="426"/>
              <w:contextualSpacing/>
              <w:rPr>
                <w:rFonts w:eastAsia="Calibri" w:cs="Arial"/>
              </w:rPr>
            </w:pPr>
          </w:p>
          <w:p w14:paraId="49FE5A83" w14:textId="58C13608" w:rsidR="00852027" w:rsidRPr="00525C23" w:rsidRDefault="009B772E" w:rsidP="00852027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Having reviewed the balance of risk between </w:t>
            </w:r>
            <w:r w:rsidRPr="009B772E">
              <w:rPr>
                <w:rFonts w:eastAsia="Calibri" w:cs="Arial"/>
              </w:rPr>
              <w:t>onward transmission of Covid-19 compared to the risk to delivery of critical services due to staff absence</w:t>
            </w:r>
            <w:r w:rsidR="00596072">
              <w:rPr>
                <w:rFonts w:eastAsia="Calibri" w:cs="Arial"/>
              </w:rPr>
              <w:t>, as well as the mitigations available, exemption from isolation for this member of staff is a reasonable course of action</w:t>
            </w:r>
            <w:r w:rsidR="00E400A7">
              <w:rPr>
                <w:rFonts w:eastAsia="Calibri" w:cs="Arial"/>
              </w:rPr>
              <w:t xml:space="preserve"> at this time</w:t>
            </w:r>
            <w:r w:rsidR="00596072">
              <w:rPr>
                <w:rFonts w:eastAsia="Calibri" w:cs="Arial"/>
              </w:rPr>
              <w:t>.</w:t>
            </w:r>
          </w:p>
          <w:p w14:paraId="60660F4E" w14:textId="77777777" w:rsidR="00C64487" w:rsidRPr="00525C23" w:rsidRDefault="00C64487" w:rsidP="00852027">
            <w:pPr>
              <w:ind w:left="426"/>
              <w:contextualSpacing/>
              <w:rPr>
                <w:rFonts w:eastAsia="Calibri" w:cs="Arial"/>
              </w:rPr>
            </w:pPr>
          </w:p>
          <w:p w14:paraId="68709801" w14:textId="7B1FB06E" w:rsidR="00C64487" w:rsidRPr="00525C23" w:rsidRDefault="00C64487" w:rsidP="00C64487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Name of Person completing risk assessment_____________________</w:t>
            </w:r>
          </w:p>
          <w:p w14:paraId="42844D08" w14:textId="0742B4B7" w:rsidR="00C64487" w:rsidRDefault="00C64487" w:rsidP="00C64487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Role of person completing risk assessment ______________________</w:t>
            </w:r>
          </w:p>
          <w:p w14:paraId="251B81DC" w14:textId="774DC41E" w:rsidR="00E400A7" w:rsidRPr="00525C23" w:rsidRDefault="00E400A7" w:rsidP="00C64487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Date _____________________________________________________</w:t>
            </w:r>
          </w:p>
          <w:p w14:paraId="704F9EA0" w14:textId="565D07BA" w:rsidR="00C64487" w:rsidRPr="00525C23" w:rsidRDefault="00C64487" w:rsidP="00852027">
            <w:pPr>
              <w:ind w:left="426"/>
              <w:contextualSpacing/>
              <w:rPr>
                <w:rFonts w:eastAsia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700C8" w14:textId="77777777" w:rsidR="00852027" w:rsidRPr="00525C23" w:rsidRDefault="00852027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</w:p>
          <w:p w14:paraId="4310DAD8" w14:textId="77777777" w:rsidR="00596072" w:rsidRDefault="00596072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</w:p>
          <w:p w14:paraId="3B4F0148" w14:textId="7D86B927" w:rsidR="00596072" w:rsidRDefault="00596072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</w:p>
          <w:p w14:paraId="3479FCD0" w14:textId="46E483EA" w:rsidR="00E400A7" w:rsidRDefault="00E400A7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</w:p>
          <w:p w14:paraId="47A5855E" w14:textId="33FA4D6D" w:rsidR="00E400A7" w:rsidRDefault="00E400A7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</w:p>
          <w:p w14:paraId="6CD92A33" w14:textId="77777777" w:rsidR="00E400A7" w:rsidRDefault="00E400A7" w:rsidP="00E400A7">
            <w:pPr>
              <w:contextualSpacing/>
              <w:rPr>
                <w:rFonts w:eastAsia="Calibri" w:cs="Arial"/>
                <w:b/>
                <w:bCs/>
              </w:rPr>
            </w:pPr>
          </w:p>
          <w:p w14:paraId="398540A2" w14:textId="34C9C31D" w:rsidR="00C64487" w:rsidRPr="00525C23" w:rsidRDefault="00C64487" w:rsidP="003A5F0C">
            <w:pPr>
              <w:ind w:left="219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525C23" w:rsidRPr="00525C23" w14:paraId="0FC0B10F" w14:textId="77777777" w:rsidTr="00504E56"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3A496" w14:textId="48B676AF" w:rsidR="00C64487" w:rsidRPr="00525C23" w:rsidRDefault="00C64487" w:rsidP="00A6346F">
            <w:pPr>
              <w:ind w:left="426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t>Approval:</w:t>
            </w:r>
          </w:p>
          <w:p w14:paraId="7A658B19" w14:textId="77777777" w:rsidR="00C64487" w:rsidRPr="00525C23" w:rsidRDefault="00C64487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12E5A0DE" w14:textId="1C4E1418" w:rsidR="00852027" w:rsidRPr="00525C23" w:rsidRDefault="00C6448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Name of Person approving risk assessment____________________</w:t>
            </w:r>
          </w:p>
          <w:p w14:paraId="0CA8CDA9" w14:textId="2EC11DAB" w:rsidR="00852027" w:rsidRDefault="00C64487" w:rsidP="00A6346F">
            <w:pPr>
              <w:ind w:left="426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Role of Person Approving risk assessment_____________________</w:t>
            </w:r>
          </w:p>
          <w:p w14:paraId="19C881EE" w14:textId="77777777" w:rsidR="00E400A7" w:rsidRPr="00525C23" w:rsidRDefault="00E400A7" w:rsidP="00E400A7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Date _____________________________________________________</w:t>
            </w:r>
          </w:p>
          <w:p w14:paraId="419C0715" w14:textId="77777777" w:rsidR="00E400A7" w:rsidRPr="00525C23" w:rsidRDefault="00E400A7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2DB50484" w14:textId="3D4A2727" w:rsidR="00C64487" w:rsidRPr="00525C23" w:rsidRDefault="00C64487" w:rsidP="00A6346F">
            <w:pPr>
              <w:ind w:left="426"/>
              <w:contextualSpacing/>
              <w:rPr>
                <w:rFonts w:eastAsia="Calibri" w:cs="Arial"/>
              </w:rPr>
            </w:pPr>
          </w:p>
          <w:p w14:paraId="3BE2AD28" w14:textId="0219A756" w:rsidR="001158C7" w:rsidRPr="00525C23" w:rsidRDefault="001158C7" w:rsidP="00A6346F">
            <w:pPr>
              <w:ind w:left="426"/>
              <w:contextualSpacing/>
              <w:rPr>
                <w:rFonts w:eastAsia="Calibri" w:cs="Arial"/>
                <w:i/>
                <w:iCs/>
              </w:rPr>
            </w:pPr>
          </w:p>
          <w:p w14:paraId="4EB578CD" w14:textId="7E5F81FE" w:rsidR="00C64487" w:rsidRPr="00525C23" w:rsidRDefault="00886905" w:rsidP="00A6346F">
            <w:pPr>
              <w:ind w:left="42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i/>
                <w:iCs/>
              </w:rPr>
              <w:t>Local organisation clinical governance process to be adhered to</w:t>
            </w:r>
            <w:r w:rsidR="00E400A7">
              <w:rPr>
                <w:rFonts w:eastAsia="Calibri" w:cs="Arial"/>
                <w:i/>
                <w:iCs/>
              </w:rPr>
              <w:t xml:space="preserve"> in developing standard operating procedures around exemption </w:t>
            </w:r>
            <w:r w:rsidR="00E400A7" w:rsidRPr="00E400A7">
              <w:rPr>
                <w:rFonts w:eastAsia="Calibri" w:cs="Arial"/>
                <w:i/>
                <w:iCs/>
              </w:rPr>
              <w:t>from contact isolation for fully vaccinated health and social care staff in exceptional circumstances</w:t>
            </w:r>
          </w:p>
          <w:p w14:paraId="69E9FF45" w14:textId="4C977595" w:rsidR="00B06F67" w:rsidRPr="00525C23" w:rsidRDefault="00B06F67" w:rsidP="00596072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2DACC" w14:textId="50D7F7BA" w:rsidR="00B06F67" w:rsidRPr="00525C23" w:rsidRDefault="00B06F67" w:rsidP="003A5F0C">
            <w:pPr>
              <w:ind w:left="219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Each organisation will need to determine who </w:t>
            </w:r>
            <w:r w:rsidR="00596072">
              <w:rPr>
                <w:rFonts w:eastAsia="Calibri" w:cs="Arial"/>
              </w:rPr>
              <w:t xml:space="preserve">within their organisation </w:t>
            </w:r>
            <w:r w:rsidRPr="00525C23">
              <w:rPr>
                <w:rFonts w:eastAsia="Calibri" w:cs="Arial"/>
              </w:rPr>
              <w:t>approvals need to come from </w:t>
            </w:r>
          </w:p>
        </w:tc>
      </w:tr>
    </w:tbl>
    <w:p w14:paraId="186F813F" w14:textId="08BE0F61" w:rsidR="00B06F67" w:rsidRPr="00525C23" w:rsidRDefault="00B06F67" w:rsidP="00F37550">
      <w:pPr>
        <w:ind w:left="720"/>
        <w:contextualSpacing/>
        <w:rPr>
          <w:rFonts w:eastAsia="Calibri" w:cs="Arial"/>
        </w:rPr>
      </w:pPr>
    </w:p>
    <w:p w14:paraId="7E60A645" w14:textId="4A9DDEA5" w:rsidR="00B06F67" w:rsidRPr="00525C23" w:rsidRDefault="00B06F67" w:rsidP="00F37550">
      <w:pPr>
        <w:ind w:left="720"/>
        <w:contextualSpacing/>
        <w:rPr>
          <w:rFonts w:eastAsia="Calibri" w:cs="Arial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843"/>
      </w:tblGrid>
      <w:tr w:rsidR="00525C23" w:rsidRPr="00525C23" w14:paraId="3342C6B6" w14:textId="77777777" w:rsidTr="00886905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6E0209F" w14:textId="2BA2BFDC" w:rsidR="00E040DB" w:rsidRPr="00525C23" w:rsidRDefault="00886905" w:rsidP="00E040DB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Mitigations: Checklist for those returning to work / meeting criteria</w:t>
            </w:r>
            <w:r w:rsidRPr="00525C23">
              <w:rPr>
                <w:rFonts w:eastAsia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F503660" w14:textId="7ECB4AC0" w:rsidR="00E040DB" w:rsidRPr="00886905" w:rsidRDefault="00886905" w:rsidP="00E040DB">
            <w:pPr>
              <w:ind w:left="285"/>
              <w:contextualSpacing/>
              <w:rPr>
                <w:rFonts w:eastAsia="Calibri" w:cs="Arial"/>
                <w:b/>
                <w:bCs/>
              </w:rPr>
            </w:pPr>
            <w:r w:rsidRPr="00886905">
              <w:rPr>
                <w:rFonts w:eastAsia="Calibri" w:cs="Arial"/>
                <w:b/>
                <w:bCs/>
              </w:rPr>
              <w:t xml:space="preserve">Discussed and </w:t>
            </w:r>
            <w:r>
              <w:rPr>
                <w:rFonts w:eastAsia="Calibri" w:cs="Arial"/>
                <w:b/>
                <w:bCs/>
              </w:rPr>
              <w:t>p</w:t>
            </w:r>
            <w:r w:rsidRPr="00886905">
              <w:rPr>
                <w:rFonts w:eastAsia="Calibri" w:cs="Arial"/>
                <w:b/>
                <w:bCs/>
              </w:rPr>
              <w:t>rocess in place</w:t>
            </w:r>
          </w:p>
        </w:tc>
      </w:tr>
      <w:tr w:rsidR="00886905" w:rsidRPr="00525C23" w14:paraId="7B87F569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25A8C" w14:textId="2A1B22EE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Employee has had a negative PCR test </w:t>
            </w:r>
            <w:r>
              <w:rPr>
                <w:rFonts w:eastAsia="Calibri" w:cs="Arial"/>
              </w:rPr>
              <w:t xml:space="preserve">result </w:t>
            </w:r>
            <w:r w:rsidRPr="00525C23">
              <w:rPr>
                <w:rFonts w:eastAsia="Calibri" w:cs="Arial"/>
              </w:rPr>
              <w:t>before returning to work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88520" w14:textId="6E17BC94" w:rsidR="00886905" w:rsidRPr="00525C23" w:rsidRDefault="00886905" w:rsidP="00886905">
            <w:pPr>
              <w:ind w:left="285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7997D308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DF2AF" w14:textId="38E6D1C5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Undertake daily LFD tests for at least 7 days (and to a maximum of 10 days/ completion of the identified isolation period) prior to starting work each 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3F0C0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627715C9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47825" w14:textId="47CF8B43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Test results should be reported to NHS Test and Trace daily via the web portal and to their duty manager and for results to be recorded by their duty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1CE61" w14:textId="6CE784B5" w:rsidR="00886905" w:rsidRPr="00525C23" w:rsidRDefault="00886905" w:rsidP="00886905">
            <w:pPr>
              <w:ind w:left="285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157DAAE1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7DF94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Staff member has been informed and understands if they have a positive LFD test during this period they should not attend work and should arrange a PCR test as soon as possible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90C68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2F7E8519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CF4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If employee develops Covid symptoms, must stay home and immediately arrange a PCR test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C0D7E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5DBC1746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4E042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Workplace risk assessment completed and risk mitigation of asymptomatic onward transmission to colleagues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C0517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05521D90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5C30E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Individual understands all PPE and all IPC measures to be maintained. Any PPE breaches to be immediately reported to line manager and escalated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8B5C6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411FFD23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6C1E" w14:textId="5F0AAEF1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 xml:space="preserve">IP&amp;C arrangements in place of work are robust and recorded, and that all staff are aware of arrangements </w:t>
            </w:r>
            <w:r>
              <w:rPr>
                <w:rFonts w:eastAsia="Calibri" w:cs="Arial"/>
              </w:rPr>
              <w:t xml:space="preserve"> (documentation to be provided)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DADC3" w14:textId="15801D9E" w:rsidR="00886905" w:rsidRPr="00525C23" w:rsidRDefault="00886905" w:rsidP="00886905">
            <w:pPr>
              <w:ind w:left="285"/>
              <w:contextualSpacing/>
              <w:rPr>
                <w:rFonts w:eastAsia="Calibri" w:cs="Arial"/>
                <w:b/>
                <w:bCs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327D35ED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4CC5E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lastRenderedPageBreak/>
              <w:t>Employee cannot take breaks or meals with others, space to eat alone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0EAE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231A1335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1E343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Travel to and from work only during isolation period – no other outside contacts allowed. Isolation remains a legal obligation until 16</w:t>
            </w:r>
            <w:r w:rsidRPr="00525C23">
              <w:rPr>
                <w:rFonts w:eastAsia="Calibri" w:cs="Arial"/>
                <w:vertAlign w:val="superscript"/>
              </w:rPr>
              <w:t>th</w:t>
            </w:r>
            <w:r w:rsidRPr="00525C23">
              <w:rPr>
                <w:rFonts w:eastAsia="Calibri" w:cs="Arial"/>
              </w:rPr>
              <w:t> Aug 2021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87840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 / 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2BFCAC6D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F9792" w14:textId="4CCFB669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Employee should not work with clinically extremely vulnerable patients / residents or colleagues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6822D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Yes/No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37CCD783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F8E4B" w14:textId="17AC34C5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Employee should wear face covering for travel to work if within enclosed space with other individuals and avoid public transport where possible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29A0E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Yes/No</w:t>
            </w:r>
            <w:r w:rsidRPr="00525C23">
              <w:rPr>
                <w:rFonts w:eastAsia="Calibri" w:cs="Arial"/>
              </w:rPr>
              <w:t> </w:t>
            </w:r>
          </w:p>
        </w:tc>
      </w:tr>
      <w:tr w:rsidR="00886905" w:rsidRPr="00525C23" w14:paraId="7D01C7EE" w14:textId="77777777" w:rsidTr="00504E56">
        <w:tc>
          <w:tcPr>
            <w:tcW w:w="7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4A0EB" w14:textId="77777777" w:rsidR="00886905" w:rsidRPr="00525C23" w:rsidRDefault="00886905" w:rsidP="00886905">
            <w:pPr>
              <w:ind w:left="414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</w:rPr>
              <w:t>Individual has been informed and understands that outside of work activities, the individual must follow current advice for self-isolation.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E3987" w14:textId="77777777" w:rsidR="00886905" w:rsidRPr="00525C23" w:rsidRDefault="00886905" w:rsidP="00886905">
            <w:pPr>
              <w:ind w:left="285"/>
              <w:contextualSpacing/>
              <w:rPr>
                <w:rFonts w:eastAsia="Calibri" w:cs="Arial"/>
              </w:rPr>
            </w:pPr>
            <w:r w:rsidRPr="00525C23">
              <w:rPr>
                <w:rFonts w:eastAsia="Calibri" w:cs="Arial"/>
                <w:b/>
                <w:bCs/>
              </w:rPr>
              <w:t>Yes/No</w:t>
            </w:r>
            <w:r w:rsidRPr="00525C23">
              <w:rPr>
                <w:rFonts w:eastAsia="Calibri" w:cs="Arial"/>
              </w:rPr>
              <w:t> </w:t>
            </w:r>
          </w:p>
        </w:tc>
      </w:tr>
    </w:tbl>
    <w:p w14:paraId="25733DE7" w14:textId="3D225365" w:rsidR="00E040DB" w:rsidRPr="00E400A7" w:rsidRDefault="00E400A7" w:rsidP="00E400A7">
      <w:pPr>
        <w:contextualSpacing/>
        <w:jc w:val="center"/>
        <w:rPr>
          <w:rFonts w:eastAsia="Calibri" w:cs="Arial"/>
          <w:b/>
          <w:bCs/>
        </w:rPr>
      </w:pPr>
      <w:r w:rsidRPr="00E400A7">
        <w:rPr>
          <w:rFonts w:eastAsia="Calibri" w:cs="Arial"/>
          <w:b/>
          <w:bCs/>
        </w:rPr>
        <w:t>If any part of the checklist is marked “No” then the exemption cannot proceed.</w:t>
      </w:r>
    </w:p>
    <w:p w14:paraId="044E52E5" w14:textId="4BCED7A8" w:rsidR="00E040DB" w:rsidRPr="00525C23" w:rsidRDefault="00E040DB" w:rsidP="00F37550">
      <w:pPr>
        <w:ind w:left="720"/>
        <w:contextualSpacing/>
        <w:rPr>
          <w:rFonts w:eastAsia="Calibri" w:cs="Arial"/>
        </w:rPr>
      </w:pPr>
    </w:p>
    <w:p w14:paraId="25A24F6C" w14:textId="77777777" w:rsidR="002C244D" w:rsidRPr="00525C23" w:rsidRDefault="002C244D" w:rsidP="003368B8">
      <w:pPr>
        <w:pStyle w:val="NoSpacing"/>
      </w:pPr>
    </w:p>
    <w:sectPr w:rsidR="002C244D" w:rsidRPr="00525C23" w:rsidSect="00C56E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164A" w14:textId="77777777" w:rsidR="00C630C0" w:rsidRDefault="00C630C0" w:rsidP="007A34B7">
      <w:pPr>
        <w:spacing w:after="0" w:line="240" w:lineRule="auto"/>
      </w:pPr>
      <w:r>
        <w:separator/>
      </w:r>
    </w:p>
  </w:endnote>
  <w:endnote w:type="continuationSeparator" w:id="0">
    <w:p w14:paraId="4AB66EA9" w14:textId="77777777" w:rsidR="00C630C0" w:rsidRDefault="00C630C0" w:rsidP="007A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D0BA" w14:textId="77777777" w:rsidR="007A34B7" w:rsidRDefault="007A3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DAE3" w14:textId="77777777" w:rsidR="007A34B7" w:rsidRDefault="007A3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34B0" w14:textId="77777777" w:rsidR="007A34B7" w:rsidRDefault="007A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FF13" w14:textId="77777777" w:rsidR="00C630C0" w:rsidRDefault="00C630C0" w:rsidP="007A34B7">
      <w:pPr>
        <w:spacing w:after="0" w:line="240" w:lineRule="auto"/>
      </w:pPr>
      <w:r>
        <w:separator/>
      </w:r>
    </w:p>
  </w:footnote>
  <w:footnote w:type="continuationSeparator" w:id="0">
    <w:p w14:paraId="334526BB" w14:textId="77777777" w:rsidR="00C630C0" w:rsidRDefault="00C630C0" w:rsidP="007A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5F22" w14:textId="77777777" w:rsidR="007A34B7" w:rsidRDefault="007A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FA22" w14:textId="23D96FA9" w:rsidR="007A34B7" w:rsidRDefault="007A3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A851" w14:textId="77777777" w:rsidR="007A34B7" w:rsidRDefault="007A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764"/>
    <w:multiLevelType w:val="hybridMultilevel"/>
    <w:tmpl w:val="727468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B0E"/>
    <w:multiLevelType w:val="hybridMultilevel"/>
    <w:tmpl w:val="025A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17E"/>
    <w:multiLevelType w:val="hybridMultilevel"/>
    <w:tmpl w:val="F1CC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36737"/>
    <w:multiLevelType w:val="multilevel"/>
    <w:tmpl w:val="DCF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1A6CA5"/>
    <w:multiLevelType w:val="hybridMultilevel"/>
    <w:tmpl w:val="8FC0577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58F3652"/>
    <w:multiLevelType w:val="hybridMultilevel"/>
    <w:tmpl w:val="A7200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D618E"/>
    <w:multiLevelType w:val="hybridMultilevel"/>
    <w:tmpl w:val="B874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6043"/>
    <w:multiLevelType w:val="multilevel"/>
    <w:tmpl w:val="577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C3702"/>
    <w:multiLevelType w:val="hybridMultilevel"/>
    <w:tmpl w:val="F4F4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6F51"/>
    <w:multiLevelType w:val="hybridMultilevel"/>
    <w:tmpl w:val="7062E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57BBD"/>
    <w:multiLevelType w:val="hybridMultilevel"/>
    <w:tmpl w:val="DA3264E8"/>
    <w:lvl w:ilvl="0" w:tplc="B824E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D5F0E"/>
    <w:multiLevelType w:val="hybridMultilevel"/>
    <w:tmpl w:val="61E021E8"/>
    <w:lvl w:ilvl="0" w:tplc="172C7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BB"/>
    <w:multiLevelType w:val="hybridMultilevel"/>
    <w:tmpl w:val="C016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513A5"/>
    <w:multiLevelType w:val="hybridMultilevel"/>
    <w:tmpl w:val="B638F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60556FD"/>
    <w:multiLevelType w:val="hybridMultilevel"/>
    <w:tmpl w:val="F754E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008B1"/>
    <w:multiLevelType w:val="hybridMultilevel"/>
    <w:tmpl w:val="19C4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16B8F"/>
    <w:multiLevelType w:val="hybridMultilevel"/>
    <w:tmpl w:val="7E10C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15EC"/>
    <w:multiLevelType w:val="hybridMultilevel"/>
    <w:tmpl w:val="7A96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17AD9"/>
    <w:multiLevelType w:val="hybridMultilevel"/>
    <w:tmpl w:val="472012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B49C8"/>
    <w:multiLevelType w:val="hybridMultilevel"/>
    <w:tmpl w:val="7C925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1613F"/>
    <w:multiLevelType w:val="hybridMultilevel"/>
    <w:tmpl w:val="FD64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3B05DD"/>
    <w:multiLevelType w:val="hybridMultilevel"/>
    <w:tmpl w:val="AA60A8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43B"/>
    <w:multiLevelType w:val="hybridMultilevel"/>
    <w:tmpl w:val="B0A2DFEC"/>
    <w:lvl w:ilvl="0" w:tplc="0A3C1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A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2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C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2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7D73EB"/>
    <w:multiLevelType w:val="hybridMultilevel"/>
    <w:tmpl w:val="B35E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62F9"/>
    <w:multiLevelType w:val="hybridMultilevel"/>
    <w:tmpl w:val="7E10C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328BC"/>
    <w:multiLevelType w:val="hybridMultilevel"/>
    <w:tmpl w:val="F76E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F5D13"/>
    <w:multiLevelType w:val="hybridMultilevel"/>
    <w:tmpl w:val="DB920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2422"/>
    <w:multiLevelType w:val="hybridMultilevel"/>
    <w:tmpl w:val="7CC05A94"/>
    <w:lvl w:ilvl="0" w:tplc="08D0698C">
      <w:start w:val="8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DA28E5"/>
    <w:multiLevelType w:val="hybridMultilevel"/>
    <w:tmpl w:val="FA64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7"/>
  </w:num>
  <w:num w:numId="5">
    <w:abstractNumId w:val="28"/>
  </w:num>
  <w:num w:numId="6">
    <w:abstractNumId w:val="1"/>
  </w:num>
  <w:num w:numId="7">
    <w:abstractNumId w:val="4"/>
  </w:num>
  <w:num w:numId="8">
    <w:abstractNumId w:val="8"/>
  </w:num>
  <w:num w:numId="9">
    <w:abstractNumId w:val="20"/>
  </w:num>
  <w:num w:numId="10">
    <w:abstractNumId w:val="2"/>
  </w:num>
  <w:num w:numId="11">
    <w:abstractNumId w:val="18"/>
  </w:num>
  <w:num w:numId="12">
    <w:abstractNumId w:val="27"/>
  </w:num>
  <w:num w:numId="13">
    <w:abstractNumId w:val="5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9"/>
  </w:num>
  <w:num w:numId="19">
    <w:abstractNumId w:val="6"/>
  </w:num>
  <w:num w:numId="20">
    <w:abstractNumId w:val="25"/>
  </w:num>
  <w:num w:numId="21">
    <w:abstractNumId w:val="12"/>
  </w:num>
  <w:num w:numId="22">
    <w:abstractNumId w:val="16"/>
  </w:num>
  <w:num w:numId="23">
    <w:abstractNumId w:val="9"/>
  </w:num>
  <w:num w:numId="24">
    <w:abstractNumId w:val="11"/>
  </w:num>
  <w:num w:numId="25">
    <w:abstractNumId w:val="26"/>
  </w:num>
  <w:num w:numId="26">
    <w:abstractNumId w:val="15"/>
  </w:num>
  <w:num w:numId="27">
    <w:abstractNumId w:val="7"/>
  </w:num>
  <w:num w:numId="28">
    <w:abstractNumId w:val="3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6"/>
    <w:rsid w:val="000253EF"/>
    <w:rsid w:val="00030466"/>
    <w:rsid w:val="00037728"/>
    <w:rsid w:val="00042D11"/>
    <w:rsid w:val="00051D5C"/>
    <w:rsid w:val="000B051B"/>
    <w:rsid w:val="000C17AA"/>
    <w:rsid w:val="000D4DC7"/>
    <w:rsid w:val="000F6BA9"/>
    <w:rsid w:val="001158C7"/>
    <w:rsid w:val="001A2F8F"/>
    <w:rsid w:val="001A5EC7"/>
    <w:rsid w:val="001B66F0"/>
    <w:rsid w:val="001C6E3A"/>
    <w:rsid w:val="00236DB4"/>
    <w:rsid w:val="002466F0"/>
    <w:rsid w:val="00266778"/>
    <w:rsid w:val="002738FE"/>
    <w:rsid w:val="00280523"/>
    <w:rsid w:val="002918EC"/>
    <w:rsid w:val="002B36C9"/>
    <w:rsid w:val="002C244D"/>
    <w:rsid w:val="002C4AD9"/>
    <w:rsid w:val="002F5DE1"/>
    <w:rsid w:val="00315C15"/>
    <w:rsid w:val="00330EA1"/>
    <w:rsid w:val="00333689"/>
    <w:rsid w:val="003368B8"/>
    <w:rsid w:val="00340D63"/>
    <w:rsid w:val="00343D8C"/>
    <w:rsid w:val="00352A48"/>
    <w:rsid w:val="00360B3A"/>
    <w:rsid w:val="0036740F"/>
    <w:rsid w:val="003A5F0C"/>
    <w:rsid w:val="003B1EBA"/>
    <w:rsid w:val="003E4F16"/>
    <w:rsid w:val="00403730"/>
    <w:rsid w:val="004147D6"/>
    <w:rsid w:val="004621C1"/>
    <w:rsid w:val="004659D7"/>
    <w:rsid w:val="00472EED"/>
    <w:rsid w:val="004B5B75"/>
    <w:rsid w:val="004F3194"/>
    <w:rsid w:val="004F3238"/>
    <w:rsid w:val="00504AC9"/>
    <w:rsid w:val="00504E56"/>
    <w:rsid w:val="00525C23"/>
    <w:rsid w:val="00527C2E"/>
    <w:rsid w:val="005460BB"/>
    <w:rsid w:val="00587DD6"/>
    <w:rsid w:val="00596072"/>
    <w:rsid w:val="00596DAE"/>
    <w:rsid w:val="00597663"/>
    <w:rsid w:val="005A6F16"/>
    <w:rsid w:val="005A7227"/>
    <w:rsid w:val="005A7F05"/>
    <w:rsid w:val="005D6402"/>
    <w:rsid w:val="005E381E"/>
    <w:rsid w:val="005F49B4"/>
    <w:rsid w:val="006430B6"/>
    <w:rsid w:val="006572D2"/>
    <w:rsid w:val="00681AC6"/>
    <w:rsid w:val="00692E0E"/>
    <w:rsid w:val="0069360B"/>
    <w:rsid w:val="006B0452"/>
    <w:rsid w:val="006B108A"/>
    <w:rsid w:val="006C104B"/>
    <w:rsid w:val="006C7D90"/>
    <w:rsid w:val="006E2E50"/>
    <w:rsid w:val="006E60CA"/>
    <w:rsid w:val="00717356"/>
    <w:rsid w:val="00730C59"/>
    <w:rsid w:val="00733DB2"/>
    <w:rsid w:val="007364C0"/>
    <w:rsid w:val="007547E7"/>
    <w:rsid w:val="00783AFF"/>
    <w:rsid w:val="007A13BC"/>
    <w:rsid w:val="007A34B7"/>
    <w:rsid w:val="007A4C3E"/>
    <w:rsid w:val="007A6255"/>
    <w:rsid w:val="007B03DA"/>
    <w:rsid w:val="007B4FD5"/>
    <w:rsid w:val="007B7E29"/>
    <w:rsid w:val="007F7814"/>
    <w:rsid w:val="00803471"/>
    <w:rsid w:val="008248E7"/>
    <w:rsid w:val="00852027"/>
    <w:rsid w:val="00880CC4"/>
    <w:rsid w:val="00886905"/>
    <w:rsid w:val="008E170C"/>
    <w:rsid w:val="008E3E02"/>
    <w:rsid w:val="00914B53"/>
    <w:rsid w:val="00942F47"/>
    <w:rsid w:val="00957015"/>
    <w:rsid w:val="0095729A"/>
    <w:rsid w:val="009612FD"/>
    <w:rsid w:val="00963C58"/>
    <w:rsid w:val="00972146"/>
    <w:rsid w:val="0097386D"/>
    <w:rsid w:val="009970F0"/>
    <w:rsid w:val="009A13F1"/>
    <w:rsid w:val="009B2803"/>
    <w:rsid w:val="009B5426"/>
    <w:rsid w:val="009B772E"/>
    <w:rsid w:val="009F0EF8"/>
    <w:rsid w:val="00A12568"/>
    <w:rsid w:val="00A15928"/>
    <w:rsid w:val="00A16CF1"/>
    <w:rsid w:val="00A33ACE"/>
    <w:rsid w:val="00A4504B"/>
    <w:rsid w:val="00A6346F"/>
    <w:rsid w:val="00A91B69"/>
    <w:rsid w:val="00AC6246"/>
    <w:rsid w:val="00AD4809"/>
    <w:rsid w:val="00AE3217"/>
    <w:rsid w:val="00AF7E19"/>
    <w:rsid w:val="00B06F67"/>
    <w:rsid w:val="00B3460A"/>
    <w:rsid w:val="00B5606B"/>
    <w:rsid w:val="00B84A64"/>
    <w:rsid w:val="00B8609D"/>
    <w:rsid w:val="00BB206E"/>
    <w:rsid w:val="00BC2A19"/>
    <w:rsid w:val="00BD49EE"/>
    <w:rsid w:val="00BE70E4"/>
    <w:rsid w:val="00C116C0"/>
    <w:rsid w:val="00C402DE"/>
    <w:rsid w:val="00C41D2E"/>
    <w:rsid w:val="00C4328A"/>
    <w:rsid w:val="00C5028D"/>
    <w:rsid w:val="00C53F12"/>
    <w:rsid w:val="00C56E5A"/>
    <w:rsid w:val="00C630C0"/>
    <w:rsid w:val="00C64487"/>
    <w:rsid w:val="00C7094F"/>
    <w:rsid w:val="00C70F82"/>
    <w:rsid w:val="00C92296"/>
    <w:rsid w:val="00C96CE9"/>
    <w:rsid w:val="00CC7B05"/>
    <w:rsid w:val="00D2097A"/>
    <w:rsid w:val="00D474BD"/>
    <w:rsid w:val="00D75F94"/>
    <w:rsid w:val="00D76C81"/>
    <w:rsid w:val="00D8732D"/>
    <w:rsid w:val="00DA0B56"/>
    <w:rsid w:val="00DD386E"/>
    <w:rsid w:val="00DD6DB3"/>
    <w:rsid w:val="00E040DB"/>
    <w:rsid w:val="00E3772D"/>
    <w:rsid w:val="00E400A7"/>
    <w:rsid w:val="00E409E6"/>
    <w:rsid w:val="00E556D8"/>
    <w:rsid w:val="00E85364"/>
    <w:rsid w:val="00ED4A98"/>
    <w:rsid w:val="00EE61EE"/>
    <w:rsid w:val="00F0158C"/>
    <w:rsid w:val="00F03C02"/>
    <w:rsid w:val="00F2701F"/>
    <w:rsid w:val="00F37550"/>
    <w:rsid w:val="00F708F4"/>
    <w:rsid w:val="00F80CA1"/>
    <w:rsid w:val="00F938CD"/>
    <w:rsid w:val="00F94CB5"/>
    <w:rsid w:val="00F950AE"/>
    <w:rsid w:val="00F96E03"/>
    <w:rsid w:val="00FA5286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C3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356"/>
    <w:pPr>
      <w:spacing w:after="0" w:line="240" w:lineRule="auto"/>
    </w:pPr>
  </w:style>
  <w:style w:type="paragraph" w:styleId="ListParagraph">
    <w:name w:val="List Paragraph"/>
    <w:aliases w:val="Numbered paragraph,F5 List Paragraph,List Paragraph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2B36C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2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graph Char,F5 List Paragraph Char,List Paragraph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locked/>
    <w:rsid w:val="00FE2E0F"/>
  </w:style>
  <w:style w:type="paragraph" w:styleId="Header">
    <w:name w:val="header"/>
    <w:basedOn w:val="Normal"/>
    <w:link w:val="HeaderChar"/>
    <w:uiPriority w:val="99"/>
    <w:unhideWhenUsed/>
    <w:rsid w:val="007A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B7"/>
  </w:style>
  <w:style w:type="paragraph" w:styleId="Footer">
    <w:name w:val="footer"/>
    <w:basedOn w:val="Normal"/>
    <w:link w:val="FooterChar"/>
    <w:uiPriority w:val="99"/>
    <w:unhideWhenUsed/>
    <w:rsid w:val="007A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B7"/>
  </w:style>
  <w:style w:type="character" w:styleId="Hyperlink">
    <w:name w:val="Hyperlink"/>
    <w:basedOn w:val="DefaultParagraphFont"/>
    <w:uiPriority w:val="99"/>
    <w:unhideWhenUsed/>
    <w:rsid w:val="00D76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C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356"/>
    <w:pPr>
      <w:spacing w:after="0" w:line="240" w:lineRule="auto"/>
    </w:pPr>
  </w:style>
  <w:style w:type="paragraph" w:styleId="ListParagraph">
    <w:name w:val="List Paragraph"/>
    <w:aliases w:val="Numbered paragraph,F5 List Paragraph,List Paragraph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2B36C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2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graph Char,F5 List Paragraph Char,List Paragraph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locked/>
    <w:rsid w:val="00FE2E0F"/>
  </w:style>
  <w:style w:type="paragraph" w:styleId="Header">
    <w:name w:val="header"/>
    <w:basedOn w:val="Normal"/>
    <w:link w:val="HeaderChar"/>
    <w:uiPriority w:val="99"/>
    <w:unhideWhenUsed/>
    <w:rsid w:val="007A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B7"/>
  </w:style>
  <w:style w:type="paragraph" w:styleId="Footer">
    <w:name w:val="footer"/>
    <w:basedOn w:val="Normal"/>
    <w:link w:val="FooterChar"/>
    <w:uiPriority w:val="99"/>
    <w:unhideWhenUsed/>
    <w:rsid w:val="007A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B7"/>
  </w:style>
  <w:style w:type="character" w:styleId="Hyperlink">
    <w:name w:val="Hyperlink"/>
    <w:basedOn w:val="DefaultParagraphFont"/>
    <w:uiPriority w:val="99"/>
    <w:unhideWhenUsed/>
    <w:rsid w:val="00D76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C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management-of-exposed-healthcare-workers-and-patients-in-hospital-settings?utm_medium=email&amp;utm_campaign=govuk-notifications&amp;utm_source=e7cb5139-1cc9-44b5-9cb3-8916333f85bc&amp;utm_content=immediately" TargetMode="External"/><Relationship Id="rId13" Type="http://schemas.openxmlformats.org/officeDocument/2006/relationships/hyperlink" Target="https://www.nhs.uk/conditions/coronavirus-covid-19/people-at-higher-risk/who-is-at-high-risk-from-coronavirus-clinically-extremely-vulnerable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coronavirus/publication/letter-on-staff-isolation-approach-following-updated-government-guidanc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nnect.phe.gov.uk/documents/preview/29541/COVID-19-Exemption-from-contact-isolation-for-fully-vaccinated-health-and-social-care-staff-in-exceptional-circumstances-2021-0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Reynolds</dc:creator>
  <cp:lastModifiedBy>Eastmead-Hoare Lisa</cp:lastModifiedBy>
  <cp:revision>2</cp:revision>
  <dcterms:created xsi:type="dcterms:W3CDTF">2021-08-04T09:06:00Z</dcterms:created>
  <dcterms:modified xsi:type="dcterms:W3CDTF">2021-08-04T09:06:00Z</dcterms:modified>
</cp:coreProperties>
</file>