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18" w:type="dxa"/>
        <w:tblInd w:w="-572" w:type="dxa"/>
        <w:tblCellMar>
          <w:top w:w="113" w:type="dxa"/>
          <w:bottom w:w="113" w:type="dxa"/>
        </w:tblCellMar>
        <w:tblLook w:val="04A0" w:firstRow="1" w:lastRow="0" w:firstColumn="1" w:lastColumn="0" w:noHBand="0" w:noVBand="1"/>
      </w:tblPr>
      <w:tblGrid>
        <w:gridCol w:w="939"/>
        <w:gridCol w:w="695"/>
        <w:gridCol w:w="8484"/>
      </w:tblGrid>
      <w:tr w:rsidR="00B40993" w:rsidRPr="004C38A6" w14:paraId="558306A4" w14:textId="77777777" w:rsidTr="004C38A6">
        <w:trPr>
          <w:trHeight w:val="416"/>
        </w:trPr>
        <w:tc>
          <w:tcPr>
            <w:tcW w:w="939" w:type="dxa"/>
            <w:shd w:val="clear" w:color="auto" w:fill="FFD966" w:themeFill="accent4" w:themeFillTint="99"/>
          </w:tcPr>
          <w:p w14:paraId="25CB6116" w14:textId="14CCF945" w:rsidR="00B40993" w:rsidRPr="004C38A6" w:rsidRDefault="00B40993" w:rsidP="004C38A6">
            <w:pPr>
              <w:spacing w:line="276" w:lineRule="auto"/>
              <w:rPr>
                <w:rFonts w:ascii="Arial" w:hAnsi="Arial" w:cs="Arial"/>
                <w:b/>
                <w:bCs/>
                <w:sz w:val="20"/>
                <w:szCs w:val="20"/>
              </w:rPr>
            </w:pPr>
            <w:r w:rsidRPr="004C38A6">
              <w:rPr>
                <w:rFonts w:ascii="Arial" w:hAnsi="Arial" w:cs="Arial"/>
                <w:b/>
                <w:bCs/>
                <w:sz w:val="20"/>
                <w:szCs w:val="20"/>
              </w:rPr>
              <w:t>Section</w:t>
            </w:r>
          </w:p>
        </w:tc>
        <w:tc>
          <w:tcPr>
            <w:tcW w:w="621" w:type="dxa"/>
            <w:shd w:val="clear" w:color="auto" w:fill="FFD966" w:themeFill="accent4" w:themeFillTint="99"/>
          </w:tcPr>
          <w:p w14:paraId="065840E4" w14:textId="59EDE3FD" w:rsidR="00B40993" w:rsidRPr="004C38A6" w:rsidRDefault="00B40993" w:rsidP="004C38A6">
            <w:pPr>
              <w:spacing w:line="276" w:lineRule="auto"/>
              <w:rPr>
                <w:rFonts w:ascii="Arial" w:hAnsi="Arial" w:cs="Arial"/>
                <w:b/>
                <w:bCs/>
                <w:sz w:val="20"/>
                <w:szCs w:val="20"/>
              </w:rPr>
            </w:pPr>
            <w:r w:rsidRPr="004C38A6">
              <w:rPr>
                <w:rFonts w:ascii="Arial" w:hAnsi="Arial" w:cs="Arial"/>
                <w:b/>
                <w:bCs/>
                <w:sz w:val="20"/>
                <w:szCs w:val="20"/>
              </w:rPr>
              <w:t>Page</w:t>
            </w:r>
          </w:p>
        </w:tc>
        <w:tc>
          <w:tcPr>
            <w:tcW w:w="8558" w:type="dxa"/>
            <w:shd w:val="clear" w:color="auto" w:fill="FFD966" w:themeFill="accent4" w:themeFillTint="99"/>
          </w:tcPr>
          <w:p w14:paraId="02BE31A4" w14:textId="21F1995B" w:rsidR="00B40993" w:rsidRPr="004C38A6" w:rsidRDefault="00B40993" w:rsidP="004C38A6">
            <w:pPr>
              <w:spacing w:line="276" w:lineRule="auto"/>
              <w:rPr>
                <w:rFonts w:ascii="Arial" w:hAnsi="Arial" w:cs="Arial"/>
                <w:b/>
                <w:bCs/>
                <w:sz w:val="20"/>
                <w:szCs w:val="20"/>
              </w:rPr>
            </w:pPr>
            <w:r w:rsidRPr="004C38A6">
              <w:rPr>
                <w:rFonts w:ascii="Arial" w:hAnsi="Arial" w:cs="Arial"/>
                <w:b/>
                <w:bCs/>
                <w:sz w:val="20"/>
                <w:szCs w:val="20"/>
              </w:rPr>
              <w:t xml:space="preserve">Update/Amendment Information in </w:t>
            </w:r>
            <w:hyperlink r:id="rId9" w:history="1">
              <w:r w:rsidRPr="004C38A6">
                <w:rPr>
                  <w:rStyle w:val="Hyperlink"/>
                  <w:rFonts w:ascii="Arial" w:hAnsi="Arial" w:cs="Arial"/>
                  <w:b/>
                  <w:bCs/>
                  <w:sz w:val="20"/>
                  <w:szCs w:val="20"/>
                </w:rPr>
                <w:t>V3.1</w:t>
              </w:r>
              <w:r w:rsidR="004C38A6" w:rsidRPr="004C38A6">
                <w:rPr>
                  <w:rStyle w:val="Hyperlink"/>
                  <w:rFonts w:ascii="Arial" w:hAnsi="Arial" w:cs="Arial"/>
                  <w:b/>
                  <w:bCs/>
                  <w:sz w:val="20"/>
                  <w:szCs w:val="20"/>
                </w:rPr>
                <w:t xml:space="preserve"> SOP</w:t>
              </w:r>
            </w:hyperlink>
            <w:r w:rsidR="004C38A6" w:rsidRPr="004C38A6">
              <w:rPr>
                <w:rFonts w:ascii="Arial" w:hAnsi="Arial" w:cs="Arial"/>
                <w:b/>
                <w:bCs/>
                <w:sz w:val="20"/>
                <w:szCs w:val="20"/>
              </w:rPr>
              <w:t xml:space="preserve"> COVID-19 local vaccination services deployment in community settings</w:t>
            </w:r>
          </w:p>
        </w:tc>
      </w:tr>
      <w:tr w:rsidR="00B40993" w:rsidRPr="004C38A6" w14:paraId="2223B583" w14:textId="77777777" w:rsidTr="004C38A6">
        <w:trPr>
          <w:trHeight w:val="397"/>
        </w:trPr>
        <w:tc>
          <w:tcPr>
            <w:tcW w:w="939" w:type="dxa"/>
          </w:tcPr>
          <w:p w14:paraId="1EA2A5E9" w14:textId="32896301" w:rsidR="00B40993" w:rsidRPr="004C38A6" w:rsidRDefault="00B40993" w:rsidP="004C38A6">
            <w:pPr>
              <w:spacing w:line="276" w:lineRule="auto"/>
              <w:rPr>
                <w:rFonts w:ascii="Arial" w:hAnsi="Arial" w:cs="Arial"/>
                <w:sz w:val="20"/>
                <w:szCs w:val="20"/>
              </w:rPr>
            </w:pPr>
            <w:r w:rsidRPr="004C38A6">
              <w:rPr>
                <w:rFonts w:ascii="Arial" w:hAnsi="Arial" w:cs="Arial"/>
                <w:sz w:val="20"/>
                <w:szCs w:val="20"/>
              </w:rPr>
              <w:t>2.4</w:t>
            </w:r>
          </w:p>
        </w:tc>
        <w:tc>
          <w:tcPr>
            <w:tcW w:w="621" w:type="dxa"/>
          </w:tcPr>
          <w:p w14:paraId="60C3AE70" w14:textId="55EE759F" w:rsidR="00B40993" w:rsidRPr="004C38A6" w:rsidRDefault="00B40993" w:rsidP="004C38A6">
            <w:pPr>
              <w:spacing w:line="276" w:lineRule="auto"/>
              <w:rPr>
                <w:rFonts w:ascii="Arial" w:hAnsi="Arial" w:cs="Arial"/>
                <w:sz w:val="20"/>
                <w:szCs w:val="20"/>
              </w:rPr>
            </w:pPr>
            <w:r w:rsidRPr="004C38A6">
              <w:rPr>
                <w:rFonts w:ascii="Arial" w:hAnsi="Arial" w:cs="Arial"/>
                <w:sz w:val="20"/>
                <w:szCs w:val="20"/>
              </w:rPr>
              <w:t>10</w:t>
            </w:r>
          </w:p>
        </w:tc>
        <w:tc>
          <w:tcPr>
            <w:tcW w:w="8558" w:type="dxa"/>
          </w:tcPr>
          <w:p w14:paraId="27EFB620" w14:textId="77777777" w:rsidR="004C38A6" w:rsidRPr="004C38A6" w:rsidRDefault="004C38A6" w:rsidP="004C38A6">
            <w:pPr>
              <w:spacing w:line="276" w:lineRule="auto"/>
              <w:rPr>
                <w:rFonts w:ascii="Arial" w:hAnsi="Arial" w:cs="Arial"/>
                <w:b/>
                <w:bCs/>
                <w:sz w:val="20"/>
                <w:szCs w:val="20"/>
              </w:rPr>
            </w:pPr>
            <w:r w:rsidRPr="004C38A6">
              <w:rPr>
                <w:rFonts w:ascii="Arial" w:hAnsi="Arial" w:cs="Arial"/>
                <w:b/>
                <w:bCs/>
                <w:sz w:val="20"/>
                <w:szCs w:val="20"/>
              </w:rPr>
              <w:t>Preparation for Local vaccination Services</w:t>
            </w:r>
          </w:p>
          <w:p w14:paraId="23104255" w14:textId="14CD6D88" w:rsidR="00B40993" w:rsidRPr="004C38A6" w:rsidRDefault="00B40993" w:rsidP="004C38A6">
            <w:pPr>
              <w:spacing w:line="276" w:lineRule="auto"/>
              <w:rPr>
                <w:rFonts w:ascii="Arial" w:hAnsi="Arial" w:cs="Arial"/>
                <w:sz w:val="20"/>
                <w:szCs w:val="20"/>
              </w:rPr>
            </w:pPr>
            <w:r w:rsidRPr="004C38A6">
              <w:rPr>
                <w:rFonts w:ascii="Arial" w:hAnsi="Arial" w:cs="Arial"/>
                <w:sz w:val="20"/>
                <w:szCs w:val="20"/>
              </w:rPr>
              <w:t xml:space="preserve">First aid and resuscitation preparation - </w:t>
            </w:r>
          </w:p>
          <w:p w14:paraId="02317C87" w14:textId="30B205B9" w:rsidR="00B40993" w:rsidRPr="004C38A6" w:rsidRDefault="00B40993" w:rsidP="004C38A6">
            <w:pPr>
              <w:pStyle w:val="ListParagraph"/>
              <w:numPr>
                <w:ilvl w:val="0"/>
                <w:numId w:val="1"/>
              </w:numPr>
              <w:spacing w:line="276" w:lineRule="auto"/>
              <w:rPr>
                <w:rFonts w:ascii="Arial" w:hAnsi="Arial" w:cs="Arial"/>
                <w:sz w:val="20"/>
                <w:szCs w:val="20"/>
              </w:rPr>
            </w:pPr>
            <w:r w:rsidRPr="004C38A6">
              <w:rPr>
                <w:rFonts w:ascii="Arial" w:hAnsi="Arial" w:cs="Arial"/>
                <w:sz w:val="20"/>
                <w:szCs w:val="20"/>
              </w:rPr>
              <w:t xml:space="preserve">Links added for </w:t>
            </w:r>
            <w:hyperlink r:id="rId10" w:history="1">
              <w:r w:rsidRPr="004C38A6">
                <w:rPr>
                  <w:rStyle w:val="Hyperlink"/>
                  <w:rFonts w:ascii="Arial" w:hAnsi="Arial" w:cs="Arial"/>
                  <w:sz w:val="20"/>
                  <w:szCs w:val="20"/>
                </w:rPr>
                <w:t>access to the anaphylaxis algorithm chart</w:t>
              </w:r>
            </w:hyperlink>
            <w:r w:rsidRPr="004C38A6">
              <w:rPr>
                <w:rFonts w:ascii="Arial" w:hAnsi="Arial" w:cs="Arial"/>
                <w:sz w:val="20"/>
                <w:szCs w:val="20"/>
              </w:rPr>
              <w:t xml:space="preserve"> </w:t>
            </w:r>
            <w:bookmarkStart w:id="0" w:name="_GoBack"/>
            <w:bookmarkEnd w:id="0"/>
          </w:p>
          <w:p w14:paraId="6B7EF39B" w14:textId="77777777" w:rsidR="00B40993" w:rsidRPr="004C38A6" w:rsidRDefault="00383185" w:rsidP="004C38A6">
            <w:pPr>
              <w:pStyle w:val="ListParagraph"/>
              <w:numPr>
                <w:ilvl w:val="0"/>
                <w:numId w:val="1"/>
              </w:numPr>
              <w:spacing w:line="276" w:lineRule="auto"/>
              <w:rPr>
                <w:rFonts w:ascii="Arial" w:hAnsi="Arial" w:cs="Arial"/>
                <w:sz w:val="20"/>
                <w:szCs w:val="20"/>
              </w:rPr>
            </w:pPr>
            <w:hyperlink r:id="rId11" w:history="1">
              <w:r w:rsidR="00B40993" w:rsidRPr="004C38A6">
                <w:rPr>
                  <w:rStyle w:val="Hyperlink"/>
                  <w:rFonts w:ascii="Arial" w:hAnsi="Arial" w:cs="Arial"/>
                  <w:sz w:val="20"/>
                  <w:szCs w:val="20"/>
                </w:rPr>
                <w:t>resuscitation of adult COVID-19 patients primary care setting infographic</w:t>
              </w:r>
            </w:hyperlink>
            <w:r w:rsidR="00B40993" w:rsidRPr="004C38A6">
              <w:rPr>
                <w:rFonts w:ascii="Arial" w:hAnsi="Arial" w:cs="Arial"/>
                <w:sz w:val="20"/>
                <w:szCs w:val="20"/>
              </w:rPr>
              <w:t xml:space="preserve"> </w:t>
            </w:r>
          </w:p>
          <w:p w14:paraId="1A64040C" w14:textId="77777777" w:rsidR="00B40993" w:rsidRPr="004C38A6" w:rsidRDefault="00B40993" w:rsidP="004C38A6">
            <w:pPr>
              <w:pStyle w:val="ListParagraph"/>
              <w:numPr>
                <w:ilvl w:val="0"/>
                <w:numId w:val="1"/>
              </w:numPr>
              <w:spacing w:line="276" w:lineRule="auto"/>
              <w:rPr>
                <w:rFonts w:ascii="Arial" w:hAnsi="Arial" w:cs="Arial"/>
                <w:sz w:val="20"/>
                <w:szCs w:val="20"/>
              </w:rPr>
            </w:pPr>
            <w:r w:rsidRPr="004C38A6">
              <w:rPr>
                <w:rFonts w:ascii="Arial" w:hAnsi="Arial" w:cs="Arial"/>
                <w:sz w:val="20"/>
                <w:szCs w:val="20"/>
              </w:rPr>
              <w:t xml:space="preserve">RCGP has published resources on </w:t>
            </w:r>
            <w:hyperlink r:id="rId12" w:history="1">
              <w:r w:rsidRPr="004C38A6">
                <w:rPr>
                  <w:rStyle w:val="Hyperlink"/>
                  <w:rFonts w:ascii="Arial" w:hAnsi="Arial" w:cs="Arial"/>
                  <w:sz w:val="20"/>
                  <w:szCs w:val="20"/>
                </w:rPr>
                <w:t>resuscitation</w:t>
              </w:r>
            </w:hyperlink>
            <w:r w:rsidRPr="004C38A6">
              <w:rPr>
                <w:rFonts w:ascii="Arial" w:hAnsi="Arial" w:cs="Arial"/>
                <w:sz w:val="20"/>
                <w:szCs w:val="20"/>
              </w:rPr>
              <w:t xml:space="preserve"> and </w:t>
            </w:r>
            <w:hyperlink r:id="rId13" w:history="1">
              <w:r w:rsidRPr="004C38A6">
                <w:rPr>
                  <w:rStyle w:val="Hyperlink"/>
                  <w:rFonts w:ascii="Arial" w:hAnsi="Arial" w:cs="Arial"/>
                  <w:sz w:val="20"/>
                  <w:szCs w:val="20"/>
                </w:rPr>
                <w:t>anaphylaxis</w:t>
              </w:r>
            </w:hyperlink>
            <w:r w:rsidRPr="004C38A6">
              <w:rPr>
                <w:rFonts w:ascii="Arial" w:hAnsi="Arial" w:cs="Arial"/>
                <w:sz w:val="20"/>
                <w:szCs w:val="20"/>
              </w:rPr>
              <w:t xml:space="preserve"> which can be used for CPD purposes.</w:t>
            </w:r>
          </w:p>
          <w:p w14:paraId="69FC3B8D" w14:textId="77777777" w:rsidR="00B40993" w:rsidRPr="004C38A6" w:rsidRDefault="00B40993" w:rsidP="004C38A6">
            <w:pPr>
              <w:spacing w:line="276" w:lineRule="auto"/>
              <w:rPr>
                <w:rFonts w:ascii="Arial" w:hAnsi="Arial" w:cs="Arial"/>
                <w:sz w:val="20"/>
                <w:szCs w:val="20"/>
              </w:rPr>
            </w:pPr>
            <w:r w:rsidRPr="004C38A6">
              <w:rPr>
                <w:rFonts w:ascii="Arial" w:hAnsi="Arial" w:cs="Arial"/>
                <w:sz w:val="20"/>
                <w:szCs w:val="20"/>
              </w:rPr>
              <w:t>Anaphylaxis and Pfizer/</w:t>
            </w:r>
            <w:proofErr w:type="spellStart"/>
            <w:r w:rsidRPr="004C38A6">
              <w:rPr>
                <w:rFonts w:ascii="Arial" w:hAnsi="Arial" w:cs="Arial"/>
                <w:sz w:val="20"/>
                <w:szCs w:val="20"/>
              </w:rPr>
              <w:t>BioNTech</w:t>
            </w:r>
            <w:proofErr w:type="spellEnd"/>
            <w:r w:rsidRPr="004C38A6">
              <w:rPr>
                <w:rFonts w:ascii="Arial" w:hAnsi="Arial" w:cs="Arial"/>
                <w:sz w:val="20"/>
                <w:szCs w:val="20"/>
              </w:rPr>
              <w:t xml:space="preserve"> vaccine</w:t>
            </w:r>
          </w:p>
          <w:p w14:paraId="4E07F3E0" w14:textId="31DCFB63" w:rsidR="00B40993" w:rsidRPr="004C38A6" w:rsidRDefault="00B40993" w:rsidP="004C38A6">
            <w:pPr>
              <w:pStyle w:val="ListParagraph"/>
              <w:numPr>
                <w:ilvl w:val="0"/>
                <w:numId w:val="2"/>
              </w:numPr>
              <w:spacing w:line="276" w:lineRule="auto"/>
              <w:rPr>
                <w:rFonts w:ascii="Arial" w:hAnsi="Arial" w:cs="Arial"/>
                <w:sz w:val="20"/>
                <w:szCs w:val="20"/>
              </w:rPr>
            </w:pPr>
            <w:r w:rsidRPr="004C38A6">
              <w:rPr>
                <w:rFonts w:ascii="Arial" w:hAnsi="Arial" w:cs="Arial"/>
                <w:sz w:val="20"/>
                <w:szCs w:val="20"/>
              </w:rPr>
              <w:t>Additional update relating to contraindication and precautions for Pfizer/</w:t>
            </w:r>
            <w:proofErr w:type="spellStart"/>
            <w:r w:rsidRPr="004C38A6">
              <w:rPr>
                <w:rFonts w:ascii="Arial" w:hAnsi="Arial" w:cs="Arial"/>
                <w:sz w:val="20"/>
                <w:szCs w:val="20"/>
              </w:rPr>
              <w:t>BioNTech</w:t>
            </w:r>
            <w:proofErr w:type="spellEnd"/>
            <w:r w:rsidRPr="004C38A6">
              <w:rPr>
                <w:rFonts w:ascii="Arial" w:hAnsi="Arial" w:cs="Arial"/>
                <w:sz w:val="20"/>
                <w:szCs w:val="20"/>
              </w:rPr>
              <w:t xml:space="preserve"> vaccine is available in this </w:t>
            </w:r>
            <w:hyperlink r:id="rId14" w:history="1">
              <w:r w:rsidRPr="004C38A6">
                <w:rPr>
                  <w:rStyle w:val="Hyperlink"/>
                  <w:rFonts w:ascii="Arial" w:hAnsi="Arial" w:cs="Arial"/>
                  <w:sz w:val="20"/>
                  <w:szCs w:val="20"/>
                </w:rPr>
                <w:t>MHRA statement</w:t>
              </w:r>
            </w:hyperlink>
            <w:r w:rsidRPr="004C38A6">
              <w:rPr>
                <w:rFonts w:ascii="Arial" w:hAnsi="Arial" w:cs="Arial"/>
                <w:sz w:val="20"/>
                <w:szCs w:val="20"/>
              </w:rPr>
              <w:t xml:space="preserve"> and section 4.1</w:t>
            </w:r>
          </w:p>
        </w:tc>
      </w:tr>
      <w:tr w:rsidR="00B40993" w:rsidRPr="004C38A6" w14:paraId="7D463D86" w14:textId="77777777" w:rsidTr="004C38A6">
        <w:trPr>
          <w:trHeight w:val="397"/>
        </w:trPr>
        <w:tc>
          <w:tcPr>
            <w:tcW w:w="939" w:type="dxa"/>
          </w:tcPr>
          <w:p w14:paraId="457375E8" w14:textId="65592259"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3</w:t>
            </w:r>
          </w:p>
        </w:tc>
        <w:tc>
          <w:tcPr>
            <w:tcW w:w="621" w:type="dxa"/>
          </w:tcPr>
          <w:p w14:paraId="797F2470" w14:textId="13EE6EFB"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13</w:t>
            </w:r>
          </w:p>
        </w:tc>
        <w:tc>
          <w:tcPr>
            <w:tcW w:w="8558" w:type="dxa"/>
          </w:tcPr>
          <w:p w14:paraId="2C436D4B" w14:textId="5EB9BD47" w:rsidR="004C38A6" w:rsidRPr="004C38A6" w:rsidRDefault="004C38A6" w:rsidP="004C38A6">
            <w:pPr>
              <w:spacing w:line="276" w:lineRule="auto"/>
              <w:rPr>
                <w:rFonts w:ascii="Arial" w:hAnsi="Arial" w:cs="Arial"/>
                <w:b/>
                <w:bCs/>
                <w:sz w:val="20"/>
                <w:szCs w:val="20"/>
              </w:rPr>
            </w:pPr>
            <w:r w:rsidRPr="004C38A6">
              <w:rPr>
                <w:rFonts w:ascii="Arial" w:hAnsi="Arial" w:cs="Arial"/>
                <w:b/>
                <w:bCs/>
                <w:sz w:val="20"/>
                <w:szCs w:val="20"/>
              </w:rPr>
              <w:t>COVID-19 vaccines and the Supply Inventory List</w:t>
            </w:r>
          </w:p>
          <w:p w14:paraId="336496E0" w14:textId="322ABA8C" w:rsidR="002130B2" w:rsidRPr="004C38A6" w:rsidRDefault="002130B2" w:rsidP="004C38A6">
            <w:pPr>
              <w:spacing w:line="276" w:lineRule="auto"/>
              <w:rPr>
                <w:rFonts w:ascii="Arial" w:hAnsi="Arial" w:cs="Arial"/>
                <w:sz w:val="20"/>
                <w:szCs w:val="20"/>
              </w:rPr>
            </w:pPr>
            <w:r w:rsidRPr="004C38A6">
              <w:rPr>
                <w:rFonts w:ascii="Arial" w:hAnsi="Arial" w:cs="Arial"/>
                <w:sz w:val="20"/>
                <w:szCs w:val="20"/>
              </w:rPr>
              <w:t xml:space="preserve">For vaccine, consumables, PPE and SIL supply, ordering &amp; delivery support </w:t>
            </w:r>
          </w:p>
          <w:p w14:paraId="1DA5D0C1" w14:textId="34FCDC1A" w:rsidR="00B40993" w:rsidRPr="004C38A6" w:rsidRDefault="002130B2" w:rsidP="004C38A6">
            <w:pPr>
              <w:pStyle w:val="ListParagraph"/>
              <w:numPr>
                <w:ilvl w:val="0"/>
                <w:numId w:val="2"/>
              </w:numPr>
              <w:spacing w:line="276" w:lineRule="auto"/>
              <w:rPr>
                <w:rFonts w:ascii="Arial" w:hAnsi="Arial" w:cs="Arial"/>
                <w:sz w:val="20"/>
                <w:szCs w:val="20"/>
              </w:rPr>
            </w:pPr>
            <w:r w:rsidRPr="004C38A6">
              <w:rPr>
                <w:rFonts w:ascii="Arial" w:hAnsi="Arial" w:cs="Arial"/>
                <w:sz w:val="20"/>
                <w:szCs w:val="20"/>
              </w:rPr>
              <w:t>contact CS@nhsvaccinesupport.com or 0800 678 1650 - 7am-7pm Mon- Sun.</w:t>
            </w:r>
          </w:p>
        </w:tc>
      </w:tr>
      <w:tr w:rsidR="00B40993" w:rsidRPr="004C38A6" w14:paraId="4D45517D" w14:textId="77777777" w:rsidTr="004C38A6">
        <w:trPr>
          <w:trHeight w:val="397"/>
        </w:trPr>
        <w:tc>
          <w:tcPr>
            <w:tcW w:w="939" w:type="dxa"/>
          </w:tcPr>
          <w:p w14:paraId="5B03649B" w14:textId="5BC49010"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3.1</w:t>
            </w:r>
          </w:p>
        </w:tc>
        <w:tc>
          <w:tcPr>
            <w:tcW w:w="621" w:type="dxa"/>
          </w:tcPr>
          <w:p w14:paraId="2C378466" w14:textId="490DA69C"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13</w:t>
            </w:r>
          </w:p>
        </w:tc>
        <w:tc>
          <w:tcPr>
            <w:tcW w:w="8558" w:type="dxa"/>
          </w:tcPr>
          <w:p w14:paraId="4094C26D" w14:textId="77777777" w:rsidR="00C02884" w:rsidRDefault="004C38A6" w:rsidP="00C02884">
            <w:pPr>
              <w:spacing w:line="276" w:lineRule="auto"/>
              <w:rPr>
                <w:rFonts w:ascii="Arial" w:hAnsi="Arial" w:cs="Arial"/>
                <w:b/>
                <w:bCs/>
                <w:sz w:val="20"/>
                <w:szCs w:val="20"/>
              </w:rPr>
            </w:pPr>
            <w:r w:rsidRPr="004C38A6">
              <w:rPr>
                <w:rFonts w:ascii="Arial" w:hAnsi="Arial" w:cs="Arial"/>
                <w:b/>
                <w:bCs/>
                <w:sz w:val="20"/>
                <w:szCs w:val="20"/>
              </w:rPr>
              <w:t xml:space="preserve">COVID-19 vaccines </w:t>
            </w:r>
          </w:p>
          <w:p w14:paraId="68DEFAB8" w14:textId="2F0A7E1C" w:rsidR="00B40993" w:rsidRPr="004C38A6" w:rsidRDefault="002130B2" w:rsidP="00C02884">
            <w:pPr>
              <w:spacing w:line="276" w:lineRule="auto"/>
              <w:rPr>
                <w:rFonts w:ascii="Arial" w:hAnsi="Arial" w:cs="Arial"/>
                <w:sz w:val="20"/>
                <w:szCs w:val="20"/>
              </w:rPr>
            </w:pPr>
            <w:r w:rsidRPr="004C38A6">
              <w:rPr>
                <w:rFonts w:ascii="Arial" w:hAnsi="Arial" w:cs="Arial"/>
                <w:sz w:val="20"/>
                <w:szCs w:val="20"/>
              </w:rPr>
              <w:t xml:space="preserve">Each vaccine will be deployed with accompanying information for that specific vaccine - Available on the </w:t>
            </w:r>
            <w:hyperlink r:id="rId15" w:history="1">
              <w:r w:rsidRPr="004C38A6">
                <w:rPr>
                  <w:rStyle w:val="Hyperlink"/>
                  <w:rFonts w:ascii="Arial" w:hAnsi="Arial" w:cs="Arial"/>
                  <w:sz w:val="20"/>
                  <w:szCs w:val="20"/>
                </w:rPr>
                <w:t>Specialist Pharmacy Service</w:t>
              </w:r>
            </w:hyperlink>
            <w:r w:rsidRPr="004C38A6">
              <w:rPr>
                <w:rFonts w:ascii="Arial" w:hAnsi="Arial" w:cs="Arial"/>
                <w:sz w:val="20"/>
                <w:szCs w:val="20"/>
              </w:rPr>
              <w:t xml:space="preserve"> website.</w:t>
            </w:r>
          </w:p>
        </w:tc>
      </w:tr>
      <w:tr w:rsidR="00B40993" w:rsidRPr="004C38A6" w14:paraId="09212EAB" w14:textId="77777777" w:rsidTr="004C38A6">
        <w:trPr>
          <w:trHeight w:val="397"/>
        </w:trPr>
        <w:tc>
          <w:tcPr>
            <w:tcW w:w="939" w:type="dxa"/>
          </w:tcPr>
          <w:p w14:paraId="27280E43" w14:textId="677BB8C6"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3.1</w:t>
            </w:r>
          </w:p>
        </w:tc>
        <w:tc>
          <w:tcPr>
            <w:tcW w:w="621" w:type="dxa"/>
          </w:tcPr>
          <w:p w14:paraId="46B7FA67" w14:textId="5C067F82"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13</w:t>
            </w:r>
          </w:p>
        </w:tc>
        <w:tc>
          <w:tcPr>
            <w:tcW w:w="8558" w:type="dxa"/>
          </w:tcPr>
          <w:p w14:paraId="0FC09EFA" w14:textId="77777777" w:rsidR="00C02884" w:rsidRDefault="00C02884" w:rsidP="00C02884">
            <w:pPr>
              <w:spacing w:line="276" w:lineRule="auto"/>
              <w:rPr>
                <w:rFonts w:ascii="Arial" w:hAnsi="Arial" w:cs="Arial"/>
                <w:b/>
                <w:bCs/>
                <w:sz w:val="20"/>
                <w:szCs w:val="20"/>
              </w:rPr>
            </w:pPr>
            <w:r w:rsidRPr="004C38A6">
              <w:rPr>
                <w:rFonts w:ascii="Arial" w:hAnsi="Arial" w:cs="Arial"/>
                <w:b/>
                <w:bCs/>
                <w:sz w:val="20"/>
                <w:szCs w:val="20"/>
              </w:rPr>
              <w:t xml:space="preserve">COVID-19 vaccines </w:t>
            </w:r>
          </w:p>
          <w:p w14:paraId="1B0E27FF" w14:textId="0F052CA0" w:rsidR="00B40993" w:rsidRPr="004C38A6" w:rsidRDefault="00383185" w:rsidP="004C38A6">
            <w:pPr>
              <w:spacing w:line="276" w:lineRule="auto"/>
              <w:rPr>
                <w:rFonts w:ascii="Arial" w:hAnsi="Arial" w:cs="Arial"/>
                <w:sz w:val="20"/>
                <w:szCs w:val="20"/>
              </w:rPr>
            </w:pPr>
            <w:hyperlink r:id="rId16" w:anchor="pharmacodynamic-properties" w:history="1">
              <w:r w:rsidR="002130B2" w:rsidRPr="004C38A6">
                <w:rPr>
                  <w:rStyle w:val="Hyperlink"/>
                  <w:rFonts w:ascii="Arial" w:hAnsi="Arial" w:cs="Arial"/>
                  <w:sz w:val="20"/>
                  <w:szCs w:val="20"/>
                </w:rPr>
                <w:t>Regulatory approval</w:t>
              </w:r>
            </w:hyperlink>
            <w:r w:rsidR="002130B2" w:rsidRPr="004C38A6">
              <w:rPr>
                <w:rFonts w:ascii="Arial" w:hAnsi="Arial" w:cs="Arial"/>
                <w:sz w:val="20"/>
                <w:szCs w:val="20"/>
              </w:rPr>
              <w:t xml:space="preserve"> information specific to the Oxford/AstraZeneca vaccine </w:t>
            </w:r>
          </w:p>
        </w:tc>
      </w:tr>
      <w:tr w:rsidR="00B40993" w:rsidRPr="004C38A6" w14:paraId="7E8C328F" w14:textId="77777777" w:rsidTr="004C38A6">
        <w:trPr>
          <w:trHeight w:val="397"/>
        </w:trPr>
        <w:tc>
          <w:tcPr>
            <w:tcW w:w="939" w:type="dxa"/>
          </w:tcPr>
          <w:p w14:paraId="22341734" w14:textId="14F559F8"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3.1</w:t>
            </w:r>
          </w:p>
        </w:tc>
        <w:tc>
          <w:tcPr>
            <w:tcW w:w="621" w:type="dxa"/>
          </w:tcPr>
          <w:p w14:paraId="436AEBF3" w14:textId="6286BFB6"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14</w:t>
            </w:r>
          </w:p>
        </w:tc>
        <w:tc>
          <w:tcPr>
            <w:tcW w:w="8558" w:type="dxa"/>
          </w:tcPr>
          <w:p w14:paraId="1F503952" w14:textId="77777777" w:rsidR="00C02884" w:rsidRDefault="00C02884" w:rsidP="00C02884">
            <w:pPr>
              <w:spacing w:line="276" w:lineRule="auto"/>
              <w:rPr>
                <w:rFonts w:ascii="Arial" w:hAnsi="Arial" w:cs="Arial"/>
                <w:b/>
                <w:bCs/>
                <w:sz w:val="20"/>
                <w:szCs w:val="20"/>
              </w:rPr>
            </w:pPr>
            <w:r w:rsidRPr="004C38A6">
              <w:rPr>
                <w:rFonts w:ascii="Arial" w:hAnsi="Arial" w:cs="Arial"/>
                <w:b/>
                <w:bCs/>
                <w:sz w:val="20"/>
                <w:szCs w:val="20"/>
              </w:rPr>
              <w:t xml:space="preserve">COVID-19 vaccines </w:t>
            </w:r>
          </w:p>
          <w:p w14:paraId="184D9511" w14:textId="6B9F837B" w:rsidR="00B40993" w:rsidRPr="004C38A6" w:rsidRDefault="002130B2" w:rsidP="004C38A6">
            <w:pPr>
              <w:spacing w:line="276" w:lineRule="auto"/>
              <w:rPr>
                <w:rFonts w:ascii="Arial" w:hAnsi="Arial" w:cs="Arial"/>
                <w:b/>
                <w:bCs/>
                <w:sz w:val="20"/>
                <w:szCs w:val="20"/>
              </w:rPr>
            </w:pPr>
            <w:r w:rsidRPr="004C38A6">
              <w:rPr>
                <w:rFonts w:ascii="Arial" w:hAnsi="Arial" w:cs="Arial"/>
                <w:b/>
                <w:bCs/>
                <w:sz w:val="20"/>
                <w:szCs w:val="20"/>
              </w:rPr>
              <w:t>Oxford/AstraZeneca vaccine</w:t>
            </w:r>
          </w:p>
          <w:p w14:paraId="46BC7CD5" w14:textId="075380A6" w:rsidR="002130B2" w:rsidRPr="004C38A6" w:rsidRDefault="002130B2" w:rsidP="004C38A6">
            <w:pPr>
              <w:pStyle w:val="Default"/>
              <w:numPr>
                <w:ilvl w:val="0"/>
                <w:numId w:val="2"/>
              </w:numPr>
              <w:spacing w:line="276" w:lineRule="auto"/>
              <w:rPr>
                <w:sz w:val="20"/>
                <w:szCs w:val="20"/>
              </w:rPr>
            </w:pPr>
            <w:r w:rsidRPr="004C38A6">
              <w:rPr>
                <w:sz w:val="20"/>
                <w:szCs w:val="20"/>
              </w:rPr>
              <w:t xml:space="preserve">Supplied in packs of 10 vials. </w:t>
            </w:r>
          </w:p>
          <w:p w14:paraId="564835B2" w14:textId="77777777" w:rsidR="002130B2" w:rsidRPr="004C38A6" w:rsidRDefault="002130B2" w:rsidP="004C38A6">
            <w:pPr>
              <w:pStyle w:val="Default"/>
              <w:numPr>
                <w:ilvl w:val="0"/>
                <w:numId w:val="2"/>
              </w:numPr>
              <w:spacing w:line="276" w:lineRule="auto"/>
              <w:rPr>
                <w:sz w:val="20"/>
                <w:szCs w:val="20"/>
              </w:rPr>
            </w:pPr>
            <w:r w:rsidRPr="004C38A6">
              <w:rPr>
                <w:sz w:val="20"/>
                <w:szCs w:val="20"/>
              </w:rPr>
              <w:t xml:space="preserve">Each vial contains 8 or 10 doses of the vaccine. </w:t>
            </w:r>
          </w:p>
          <w:p w14:paraId="6EC25694" w14:textId="77777777" w:rsidR="002130B2" w:rsidRPr="004C38A6" w:rsidRDefault="002130B2" w:rsidP="004C38A6">
            <w:pPr>
              <w:pStyle w:val="Default"/>
              <w:numPr>
                <w:ilvl w:val="0"/>
                <w:numId w:val="2"/>
              </w:numPr>
              <w:spacing w:line="276" w:lineRule="auto"/>
              <w:rPr>
                <w:sz w:val="20"/>
                <w:szCs w:val="20"/>
              </w:rPr>
            </w:pPr>
            <w:r w:rsidRPr="004C38A6">
              <w:rPr>
                <w:sz w:val="20"/>
                <w:szCs w:val="20"/>
              </w:rPr>
              <w:t xml:space="preserve">The unopened multi dose vial can be stored in the fridge (stored at 2- 8OC) with a shelf life of 6 months. </w:t>
            </w:r>
          </w:p>
          <w:p w14:paraId="4500B15D" w14:textId="77777777" w:rsidR="002130B2" w:rsidRPr="004C38A6" w:rsidRDefault="002130B2" w:rsidP="004C38A6">
            <w:pPr>
              <w:pStyle w:val="Default"/>
              <w:numPr>
                <w:ilvl w:val="0"/>
                <w:numId w:val="2"/>
              </w:numPr>
              <w:spacing w:line="276" w:lineRule="auto"/>
              <w:rPr>
                <w:sz w:val="20"/>
                <w:szCs w:val="20"/>
              </w:rPr>
            </w:pPr>
            <w:r w:rsidRPr="004C38A6">
              <w:rPr>
                <w:sz w:val="20"/>
                <w:szCs w:val="20"/>
              </w:rPr>
              <w:t xml:space="preserve">The vials should not be allowed to freeze and be protected from light. Once opened the vaccine should be used as soon as possible and within 6 hours. </w:t>
            </w:r>
          </w:p>
          <w:p w14:paraId="2A7E05DD" w14:textId="5B170978" w:rsidR="002130B2" w:rsidRPr="004C38A6" w:rsidRDefault="002130B2" w:rsidP="004C38A6">
            <w:pPr>
              <w:pStyle w:val="Default"/>
              <w:numPr>
                <w:ilvl w:val="0"/>
                <w:numId w:val="2"/>
              </w:numPr>
              <w:spacing w:line="276" w:lineRule="auto"/>
              <w:rPr>
                <w:sz w:val="20"/>
                <w:szCs w:val="20"/>
              </w:rPr>
            </w:pPr>
            <w:r w:rsidRPr="004C38A6">
              <w:rPr>
                <w:sz w:val="20"/>
                <w:szCs w:val="20"/>
              </w:rPr>
              <w:t xml:space="preserve">The vaccine may be stored between 2°C and 25°C during in use period. </w:t>
            </w:r>
          </w:p>
          <w:p w14:paraId="6B2FB0B9" w14:textId="77777777" w:rsidR="002130B2" w:rsidRPr="004C38A6" w:rsidRDefault="002130B2" w:rsidP="004C38A6">
            <w:pPr>
              <w:pStyle w:val="Default"/>
              <w:numPr>
                <w:ilvl w:val="0"/>
                <w:numId w:val="2"/>
              </w:numPr>
              <w:spacing w:line="276" w:lineRule="auto"/>
              <w:rPr>
                <w:sz w:val="20"/>
                <w:szCs w:val="20"/>
              </w:rPr>
            </w:pPr>
            <w:r w:rsidRPr="004C38A6">
              <w:rPr>
                <w:sz w:val="20"/>
                <w:szCs w:val="20"/>
              </w:rPr>
              <w:t xml:space="preserve">Each vaccine dose of 0.5ml is withdrawn into a syringe to be administered intramuscularly. </w:t>
            </w:r>
          </w:p>
          <w:p w14:paraId="2F2CB095" w14:textId="77777777" w:rsidR="002130B2" w:rsidRPr="004C38A6" w:rsidRDefault="002130B2" w:rsidP="004C38A6">
            <w:pPr>
              <w:pStyle w:val="Default"/>
              <w:numPr>
                <w:ilvl w:val="0"/>
                <w:numId w:val="2"/>
              </w:numPr>
              <w:spacing w:line="276" w:lineRule="auto"/>
              <w:rPr>
                <w:sz w:val="20"/>
                <w:szCs w:val="20"/>
              </w:rPr>
            </w:pPr>
            <w:r w:rsidRPr="004C38A6">
              <w:rPr>
                <w:sz w:val="20"/>
                <w:szCs w:val="20"/>
              </w:rPr>
              <w:t xml:space="preserve">It is normal for liquid to remain in the vial after withdrawing the final dose. </w:t>
            </w:r>
          </w:p>
          <w:p w14:paraId="155807CF" w14:textId="1F9B9841" w:rsidR="002130B2" w:rsidRPr="004C38A6" w:rsidRDefault="002130B2" w:rsidP="004C38A6">
            <w:pPr>
              <w:pStyle w:val="Default"/>
              <w:numPr>
                <w:ilvl w:val="0"/>
                <w:numId w:val="2"/>
              </w:numPr>
              <w:spacing w:line="276" w:lineRule="auto"/>
              <w:rPr>
                <w:sz w:val="20"/>
                <w:szCs w:val="20"/>
              </w:rPr>
            </w:pPr>
            <w:r w:rsidRPr="004C38A6">
              <w:rPr>
                <w:sz w:val="20"/>
                <w:szCs w:val="20"/>
              </w:rPr>
              <w:t xml:space="preserve">The vaccine does not contain any preservatives. </w:t>
            </w:r>
          </w:p>
          <w:p w14:paraId="6D3052BC" w14:textId="2D686E4F" w:rsidR="002130B2" w:rsidRPr="004C38A6" w:rsidRDefault="002130B2" w:rsidP="004C38A6">
            <w:pPr>
              <w:pStyle w:val="Default"/>
              <w:numPr>
                <w:ilvl w:val="0"/>
                <w:numId w:val="2"/>
              </w:numPr>
              <w:spacing w:line="276" w:lineRule="auto"/>
              <w:rPr>
                <w:sz w:val="20"/>
                <w:szCs w:val="20"/>
              </w:rPr>
            </w:pPr>
            <w:r w:rsidRPr="004C38A6">
              <w:rPr>
                <w:sz w:val="20"/>
                <w:szCs w:val="20"/>
              </w:rPr>
              <w:t xml:space="preserve">Distribution as a part of deployment can be controlled at 2-8°C. </w:t>
            </w:r>
          </w:p>
          <w:p w14:paraId="77EA9CBF" w14:textId="40E75F58" w:rsidR="002130B2" w:rsidRPr="00015D31" w:rsidRDefault="002130B2" w:rsidP="004C38A6">
            <w:pPr>
              <w:pStyle w:val="Default"/>
              <w:numPr>
                <w:ilvl w:val="0"/>
                <w:numId w:val="2"/>
              </w:numPr>
              <w:spacing w:line="276" w:lineRule="auto"/>
              <w:rPr>
                <w:sz w:val="20"/>
                <w:szCs w:val="20"/>
              </w:rPr>
            </w:pPr>
            <w:r w:rsidRPr="004C38A6">
              <w:rPr>
                <w:sz w:val="20"/>
                <w:szCs w:val="20"/>
              </w:rPr>
              <w:t xml:space="preserve">Further packing down (splitting of packs) of lots to aid deployment can occur at 2-8°C within its shelf life and at ‘room temperature’ &lt;25°C within 2 hours. </w:t>
            </w:r>
          </w:p>
        </w:tc>
      </w:tr>
      <w:tr w:rsidR="00B40993" w:rsidRPr="004C38A6" w14:paraId="4493CA6D" w14:textId="77777777" w:rsidTr="004C38A6">
        <w:trPr>
          <w:trHeight w:val="397"/>
        </w:trPr>
        <w:tc>
          <w:tcPr>
            <w:tcW w:w="939" w:type="dxa"/>
          </w:tcPr>
          <w:p w14:paraId="156182D4" w14:textId="30E3B2B6"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4</w:t>
            </w:r>
          </w:p>
        </w:tc>
        <w:tc>
          <w:tcPr>
            <w:tcW w:w="621" w:type="dxa"/>
          </w:tcPr>
          <w:p w14:paraId="58E4B0B1" w14:textId="74393F0D" w:rsidR="00B40993" w:rsidRPr="004C38A6" w:rsidRDefault="002130B2" w:rsidP="004C38A6">
            <w:pPr>
              <w:spacing w:line="276" w:lineRule="auto"/>
              <w:rPr>
                <w:rFonts w:ascii="Arial" w:hAnsi="Arial" w:cs="Arial"/>
                <w:sz w:val="20"/>
                <w:szCs w:val="20"/>
              </w:rPr>
            </w:pPr>
            <w:r w:rsidRPr="004C38A6">
              <w:rPr>
                <w:rFonts w:ascii="Arial" w:hAnsi="Arial" w:cs="Arial"/>
                <w:sz w:val="20"/>
                <w:szCs w:val="20"/>
              </w:rPr>
              <w:t>16</w:t>
            </w:r>
          </w:p>
        </w:tc>
        <w:tc>
          <w:tcPr>
            <w:tcW w:w="8558" w:type="dxa"/>
          </w:tcPr>
          <w:p w14:paraId="2E4A480C" w14:textId="77777777" w:rsidR="00B40993" w:rsidRPr="004C38A6" w:rsidRDefault="002130B2" w:rsidP="004C38A6">
            <w:pPr>
              <w:spacing w:line="276" w:lineRule="auto"/>
              <w:rPr>
                <w:rFonts w:ascii="Arial" w:hAnsi="Arial" w:cs="Arial"/>
                <w:b/>
                <w:bCs/>
                <w:sz w:val="20"/>
                <w:szCs w:val="20"/>
              </w:rPr>
            </w:pPr>
            <w:r w:rsidRPr="004C38A6">
              <w:rPr>
                <w:rFonts w:ascii="Arial" w:hAnsi="Arial" w:cs="Arial"/>
                <w:b/>
                <w:bCs/>
                <w:sz w:val="20"/>
                <w:szCs w:val="20"/>
              </w:rPr>
              <w:t>Operating Model</w:t>
            </w:r>
          </w:p>
          <w:p w14:paraId="4D82D475" w14:textId="395D5FE9" w:rsidR="00A90352" w:rsidRPr="00A90352" w:rsidRDefault="00A90352" w:rsidP="004C38A6">
            <w:pPr>
              <w:spacing w:line="276" w:lineRule="auto"/>
              <w:rPr>
                <w:rFonts w:ascii="Arial" w:hAnsi="Arial" w:cs="Arial"/>
                <w:b/>
                <w:bCs/>
                <w:sz w:val="20"/>
                <w:szCs w:val="20"/>
              </w:rPr>
            </w:pPr>
            <w:r w:rsidRPr="00A90352">
              <w:rPr>
                <w:rFonts w:ascii="Arial" w:hAnsi="Arial" w:cs="Arial"/>
                <w:b/>
                <w:bCs/>
                <w:sz w:val="20"/>
                <w:szCs w:val="20"/>
              </w:rPr>
              <w:t xml:space="preserve">Identifying eligible patient cohorts </w:t>
            </w:r>
          </w:p>
          <w:p w14:paraId="585B608C" w14:textId="78333040" w:rsidR="002130B2" w:rsidRPr="004C38A6" w:rsidRDefault="00A90352" w:rsidP="004C38A6">
            <w:pPr>
              <w:spacing w:line="276" w:lineRule="auto"/>
              <w:rPr>
                <w:rFonts w:ascii="Arial" w:hAnsi="Arial" w:cs="Arial"/>
                <w:sz w:val="20"/>
                <w:szCs w:val="20"/>
              </w:rPr>
            </w:pPr>
            <w:r w:rsidRPr="004C38A6">
              <w:rPr>
                <w:rFonts w:ascii="Arial" w:hAnsi="Arial" w:cs="Arial"/>
                <w:sz w:val="20"/>
                <w:szCs w:val="20"/>
              </w:rPr>
              <w:t xml:space="preserve">The Joint Committee on Vaccination and Immunisation has </w:t>
            </w:r>
            <w:hyperlink r:id="rId17" w:history="1">
              <w:r w:rsidRPr="004C38A6">
                <w:rPr>
                  <w:rStyle w:val="Hyperlink"/>
                  <w:rFonts w:ascii="Arial" w:hAnsi="Arial" w:cs="Arial"/>
                  <w:sz w:val="20"/>
                  <w:szCs w:val="20"/>
                </w:rPr>
                <w:t>updated advice</w:t>
              </w:r>
            </w:hyperlink>
            <w:r w:rsidRPr="004C38A6">
              <w:rPr>
                <w:rFonts w:ascii="Arial" w:hAnsi="Arial" w:cs="Arial"/>
                <w:sz w:val="20"/>
                <w:szCs w:val="20"/>
              </w:rPr>
              <w:t xml:space="preserve"> on prioritisation of patient groups</w:t>
            </w:r>
          </w:p>
        </w:tc>
      </w:tr>
      <w:tr w:rsidR="00B40993" w:rsidRPr="004C38A6" w14:paraId="2500485D" w14:textId="77777777" w:rsidTr="004C38A6">
        <w:trPr>
          <w:trHeight w:val="397"/>
        </w:trPr>
        <w:tc>
          <w:tcPr>
            <w:tcW w:w="939" w:type="dxa"/>
          </w:tcPr>
          <w:p w14:paraId="44B5B2CA" w14:textId="7CEC47FE" w:rsidR="00B40993" w:rsidRPr="004C38A6" w:rsidRDefault="00A90352" w:rsidP="004C38A6">
            <w:pPr>
              <w:spacing w:line="276" w:lineRule="auto"/>
              <w:rPr>
                <w:rFonts w:ascii="Arial" w:hAnsi="Arial" w:cs="Arial"/>
                <w:sz w:val="20"/>
                <w:szCs w:val="20"/>
              </w:rPr>
            </w:pPr>
            <w:r w:rsidRPr="004C38A6">
              <w:rPr>
                <w:rFonts w:ascii="Arial" w:hAnsi="Arial" w:cs="Arial"/>
                <w:sz w:val="20"/>
                <w:szCs w:val="20"/>
              </w:rPr>
              <w:t>4</w:t>
            </w:r>
          </w:p>
        </w:tc>
        <w:tc>
          <w:tcPr>
            <w:tcW w:w="621" w:type="dxa"/>
          </w:tcPr>
          <w:p w14:paraId="0998C75A" w14:textId="438C6ADC" w:rsidR="00B40993" w:rsidRPr="004C38A6" w:rsidRDefault="00A90352" w:rsidP="004C38A6">
            <w:pPr>
              <w:spacing w:line="276" w:lineRule="auto"/>
              <w:rPr>
                <w:rFonts w:ascii="Arial" w:hAnsi="Arial" w:cs="Arial"/>
                <w:sz w:val="20"/>
                <w:szCs w:val="20"/>
              </w:rPr>
            </w:pPr>
            <w:r w:rsidRPr="004C38A6">
              <w:rPr>
                <w:rFonts w:ascii="Arial" w:hAnsi="Arial" w:cs="Arial"/>
                <w:sz w:val="20"/>
                <w:szCs w:val="20"/>
              </w:rPr>
              <w:t>16</w:t>
            </w:r>
          </w:p>
        </w:tc>
        <w:tc>
          <w:tcPr>
            <w:tcW w:w="8558" w:type="dxa"/>
          </w:tcPr>
          <w:p w14:paraId="6135990B"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00FE3E8B" w14:textId="58E5612D" w:rsidR="00C02884" w:rsidRDefault="00C02884" w:rsidP="004C38A6">
            <w:pPr>
              <w:pStyle w:val="Default"/>
              <w:spacing w:line="276" w:lineRule="auto"/>
              <w:rPr>
                <w:sz w:val="20"/>
                <w:szCs w:val="20"/>
              </w:rPr>
            </w:pPr>
            <w:r w:rsidRPr="00C02884">
              <w:rPr>
                <w:b/>
                <w:bCs/>
                <w:sz w:val="20"/>
                <w:szCs w:val="20"/>
              </w:rPr>
              <w:t>Patients who are ineligible for COVID-19 vaccination</w:t>
            </w:r>
          </w:p>
          <w:p w14:paraId="327A7ADB" w14:textId="63B3BA48" w:rsidR="00A90352" w:rsidRPr="004C38A6" w:rsidRDefault="00A90352" w:rsidP="004C38A6">
            <w:pPr>
              <w:pStyle w:val="Default"/>
              <w:spacing w:line="276" w:lineRule="auto"/>
              <w:rPr>
                <w:sz w:val="20"/>
                <w:szCs w:val="20"/>
              </w:rPr>
            </w:pPr>
            <w:r w:rsidRPr="004C38A6">
              <w:rPr>
                <w:sz w:val="20"/>
                <w:szCs w:val="20"/>
              </w:rPr>
              <w:t>For certain patient groups who should be excluded from vaccinations.</w:t>
            </w:r>
          </w:p>
          <w:p w14:paraId="1FC7FC6D" w14:textId="5F5A46CA" w:rsidR="00A90352" w:rsidRPr="004C38A6" w:rsidRDefault="00A90352" w:rsidP="004C38A6">
            <w:pPr>
              <w:pStyle w:val="Default"/>
              <w:numPr>
                <w:ilvl w:val="0"/>
                <w:numId w:val="3"/>
              </w:numPr>
              <w:spacing w:line="276" w:lineRule="auto"/>
              <w:rPr>
                <w:sz w:val="20"/>
                <w:szCs w:val="20"/>
              </w:rPr>
            </w:pPr>
            <w:r w:rsidRPr="004C38A6">
              <w:rPr>
                <w:sz w:val="20"/>
                <w:szCs w:val="20"/>
              </w:rPr>
              <w:t xml:space="preserve">Oxford/AstraZeneca vaccine: </w:t>
            </w:r>
            <w:hyperlink r:id="rId18" w:history="1">
              <w:r w:rsidRPr="004C38A6">
                <w:rPr>
                  <w:rStyle w:val="Hyperlink"/>
                  <w:sz w:val="20"/>
                  <w:szCs w:val="20"/>
                </w:rPr>
                <w:t>Information for healthcare professionals and the public</w:t>
              </w:r>
            </w:hyperlink>
            <w:r w:rsidRPr="004C38A6">
              <w:rPr>
                <w:sz w:val="20"/>
                <w:szCs w:val="20"/>
              </w:rPr>
              <w:t xml:space="preserve"> </w:t>
            </w:r>
          </w:p>
          <w:p w14:paraId="4524849D" w14:textId="77777777" w:rsidR="00B40993" w:rsidRPr="004C38A6" w:rsidRDefault="00B40993" w:rsidP="004C38A6">
            <w:pPr>
              <w:spacing w:line="276" w:lineRule="auto"/>
              <w:rPr>
                <w:rFonts w:ascii="Arial" w:hAnsi="Arial" w:cs="Arial"/>
                <w:sz w:val="20"/>
                <w:szCs w:val="20"/>
              </w:rPr>
            </w:pPr>
          </w:p>
        </w:tc>
      </w:tr>
      <w:tr w:rsidR="00B40993" w:rsidRPr="004C38A6" w14:paraId="0A31F2D7" w14:textId="77777777" w:rsidTr="004C38A6">
        <w:trPr>
          <w:trHeight w:val="397"/>
        </w:trPr>
        <w:tc>
          <w:tcPr>
            <w:tcW w:w="939" w:type="dxa"/>
          </w:tcPr>
          <w:p w14:paraId="4EF733F6" w14:textId="2A0499DE" w:rsidR="00B40993" w:rsidRPr="004C38A6" w:rsidRDefault="00A90352" w:rsidP="004C38A6">
            <w:pPr>
              <w:spacing w:line="276" w:lineRule="auto"/>
              <w:rPr>
                <w:rFonts w:ascii="Arial" w:hAnsi="Arial" w:cs="Arial"/>
                <w:sz w:val="20"/>
                <w:szCs w:val="20"/>
              </w:rPr>
            </w:pPr>
            <w:r w:rsidRPr="004C38A6">
              <w:rPr>
                <w:rFonts w:ascii="Arial" w:hAnsi="Arial" w:cs="Arial"/>
                <w:sz w:val="20"/>
                <w:szCs w:val="20"/>
              </w:rPr>
              <w:t>4</w:t>
            </w:r>
          </w:p>
        </w:tc>
        <w:tc>
          <w:tcPr>
            <w:tcW w:w="621" w:type="dxa"/>
          </w:tcPr>
          <w:p w14:paraId="7C91483E" w14:textId="6AB12C7D" w:rsidR="00B40993" w:rsidRPr="004C38A6" w:rsidRDefault="00A90352" w:rsidP="004C38A6">
            <w:pPr>
              <w:spacing w:line="276" w:lineRule="auto"/>
              <w:rPr>
                <w:rFonts w:ascii="Arial" w:hAnsi="Arial" w:cs="Arial"/>
                <w:sz w:val="20"/>
                <w:szCs w:val="20"/>
              </w:rPr>
            </w:pPr>
            <w:r w:rsidRPr="004C38A6">
              <w:rPr>
                <w:rFonts w:ascii="Arial" w:hAnsi="Arial" w:cs="Arial"/>
                <w:sz w:val="20"/>
                <w:szCs w:val="20"/>
              </w:rPr>
              <w:t>17</w:t>
            </w:r>
          </w:p>
        </w:tc>
        <w:tc>
          <w:tcPr>
            <w:tcW w:w="8558" w:type="dxa"/>
          </w:tcPr>
          <w:p w14:paraId="76A43AA6"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58FDD325" w14:textId="603D1D3A" w:rsidR="00A90352" w:rsidRPr="004C38A6" w:rsidRDefault="00A90352" w:rsidP="004C38A6">
            <w:pPr>
              <w:pStyle w:val="Default"/>
              <w:spacing w:line="276" w:lineRule="auto"/>
              <w:jc w:val="both"/>
              <w:rPr>
                <w:sz w:val="20"/>
                <w:szCs w:val="20"/>
              </w:rPr>
            </w:pPr>
            <w:r w:rsidRPr="004C38A6">
              <w:rPr>
                <w:b/>
                <w:bCs/>
                <w:sz w:val="20"/>
                <w:szCs w:val="20"/>
              </w:rPr>
              <w:t xml:space="preserve">Pregnancy and breast-feeding – updated guidance </w:t>
            </w:r>
          </w:p>
          <w:p w14:paraId="1C9A1BDE" w14:textId="5EA2D2CD" w:rsidR="00A90352" w:rsidRPr="004C38A6" w:rsidRDefault="00A90352" w:rsidP="004C38A6">
            <w:pPr>
              <w:pStyle w:val="Default"/>
              <w:numPr>
                <w:ilvl w:val="0"/>
                <w:numId w:val="3"/>
              </w:numPr>
              <w:spacing w:after="92" w:line="276" w:lineRule="auto"/>
              <w:jc w:val="both"/>
              <w:rPr>
                <w:sz w:val="20"/>
                <w:szCs w:val="20"/>
              </w:rPr>
            </w:pPr>
            <w:r w:rsidRPr="004C38A6">
              <w:rPr>
                <w:sz w:val="20"/>
                <w:szCs w:val="20"/>
              </w:rPr>
              <w:t xml:space="preserve">JCVI does not advise that there is a requirement for routine pregnancy testing. </w:t>
            </w:r>
          </w:p>
          <w:p w14:paraId="5F2BDCED" w14:textId="021072D0" w:rsidR="00A90352" w:rsidRPr="004C38A6" w:rsidRDefault="00A90352" w:rsidP="004C38A6">
            <w:pPr>
              <w:pStyle w:val="Default"/>
              <w:numPr>
                <w:ilvl w:val="0"/>
                <w:numId w:val="3"/>
              </w:numPr>
              <w:spacing w:after="92" w:line="276" w:lineRule="auto"/>
              <w:jc w:val="both"/>
              <w:rPr>
                <w:sz w:val="20"/>
                <w:szCs w:val="20"/>
              </w:rPr>
            </w:pPr>
            <w:r w:rsidRPr="004C38A6">
              <w:rPr>
                <w:sz w:val="20"/>
                <w:szCs w:val="20"/>
              </w:rPr>
              <w:t xml:space="preserve">Women who are trying to become pregnant do not need to avoid pregnancy after vaccination. </w:t>
            </w:r>
          </w:p>
          <w:p w14:paraId="30C762AA" w14:textId="1055D5A3" w:rsidR="00A90352" w:rsidRPr="004C38A6" w:rsidRDefault="00A90352" w:rsidP="004C38A6">
            <w:pPr>
              <w:pStyle w:val="Default"/>
              <w:numPr>
                <w:ilvl w:val="0"/>
                <w:numId w:val="3"/>
              </w:numPr>
              <w:spacing w:after="92" w:line="276" w:lineRule="auto"/>
              <w:jc w:val="both"/>
              <w:rPr>
                <w:sz w:val="20"/>
                <w:szCs w:val="20"/>
              </w:rPr>
            </w:pPr>
            <w:r w:rsidRPr="004C38A6">
              <w:rPr>
                <w:sz w:val="20"/>
                <w:szCs w:val="20"/>
              </w:rPr>
              <w:t>JCVI advises that, for women who are offered vaccination with the Pfizer/</w:t>
            </w:r>
            <w:proofErr w:type="spellStart"/>
            <w:r w:rsidRPr="004C38A6">
              <w:rPr>
                <w:sz w:val="20"/>
                <w:szCs w:val="20"/>
              </w:rPr>
              <w:t>BioNTech</w:t>
            </w:r>
            <w:proofErr w:type="spellEnd"/>
            <w:r w:rsidRPr="004C38A6">
              <w:rPr>
                <w:sz w:val="20"/>
                <w:szCs w:val="20"/>
              </w:rPr>
              <w:t xml:space="preserve"> </w:t>
            </w:r>
            <w:r w:rsidRPr="004C38A6">
              <w:rPr>
                <w:sz w:val="20"/>
                <w:szCs w:val="20"/>
              </w:rPr>
              <w:lastRenderedPageBreak/>
              <w:t xml:space="preserve">or Oxford/AstraZeneca COVID-19 vaccines, vaccination in pregnancy should be considered where the risk of exposure to Severe Acute Respiratory Syndrome coronavirus 2 (SARS-CoV2) infection is high and cannot be avoided, or where the woman has underlying conditions that put them at very high risk of serious complications of COVID-19. In these circumstances, clinicians should discuss the risks and benefits of vaccination with the woman, who should be told about the absence of safety data for the vaccine in pregnant women. </w:t>
            </w:r>
          </w:p>
          <w:p w14:paraId="6C8D7798" w14:textId="6E6FE756" w:rsidR="00B40993" w:rsidRPr="00015D31" w:rsidRDefault="00A90352" w:rsidP="004C38A6">
            <w:pPr>
              <w:pStyle w:val="Default"/>
              <w:numPr>
                <w:ilvl w:val="0"/>
                <w:numId w:val="3"/>
              </w:numPr>
              <w:spacing w:line="276" w:lineRule="auto"/>
              <w:jc w:val="both"/>
              <w:rPr>
                <w:sz w:val="20"/>
                <w:szCs w:val="20"/>
              </w:rPr>
            </w:pPr>
            <w:r w:rsidRPr="004C38A6">
              <w:rPr>
                <w:sz w:val="20"/>
                <w:szCs w:val="20"/>
              </w:rPr>
              <w:t>JCVI has advised that there is no known risk associated with giving non-live vaccines whilst breastfeeding. JCVI advises that breastfeeding women may be offered vaccination with the Pfizer/</w:t>
            </w:r>
            <w:proofErr w:type="spellStart"/>
            <w:r w:rsidRPr="004C38A6">
              <w:rPr>
                <w:sz w:val="20"/>
                <w:szCs w:val="20"/>
              </w:rPr>
              <w:t>BioNTech</w:t>
            </w:r>
            <w:proofErr w:type="spellEnd"/>
            <w:r w:rsidRPr="004C38A6">
              <w:rPr>
                <w:sz w:val="20"/>
                <w:szCs w:val="20"/>
              </w:rPr>
              <w:t xml:space="preserve"> or Oxford/AstraZeneca COVID-19 vaccines. </w:t>
            </w:r>
          </w:p>
        </w:tc>
      </w:tr>
      <w:tr w:rsidR="00B40993" w:rsidRPr="004C38A6" w14:paraId="563F1052" w14:textId="77777777" w:rsidTr="004C38A6">
        <w:trPr>
          <w:trHeight w:val="397"/>
        </w:trPr>
        <w:tc>
          <w:tcPr>
            <w:tcW w:w="939" w:type="dxa"/>
          </w:tcPr>
          <w:p w14:paraId="393DD5E2" w14:textId="5B08698C" w:rsidR="00B40993" w:rsidRPr="004C38A6" w:rsidRDefault="00A90352" w:rsidP="004C38A6">
            <w:pPr>
              <w:spacing w:line="276" w:lineRule="auto"/>
              <w:rPr>
                <w:rFonts w:ascii="Arial" w:hAnsi="Arial" w:cs="Arial"/>
                <w:sz w:val="20"/>
                <w:szCs w:val="20"/>
              </w:rPr>
            </w:pPr>
            <w:r w:rsidRPr="004C38A6">
              <w:rPr>
                <w:rFonts w:ascii="Arial" w:hAnsi="Arial" w:cs="Arial"/>
                <w:sz w:val="20"/>
                <w:szCs w:val="20"/>
              </w:rPr>
              <w:lastRenderedPageBreak/>
              <w:t>4</w:t>
            </w:r>
          </w:p>
        </w:tc>
        <w:tc>
          <w:tcPr>
            <w:tcW w:w="621" w:type="dxa"/>
          </w:tcPr>
          <w:p w14:paraId="14430649" w14:textId="29BA5999" w:rsidR="00B40993" w:rsidRPr="004C38A6" w:rsidRDefault="00A90352" w:rsidP="004C38A6">
            <w:pPr>
              <w:spacing w:line="276" w:lineRule="auto"/>
              <w:rPr>
                <w:rFonts w:ascii="Arial" w:hAnsi="Arial" w:cs="Arial"/>
                <w:sz w:val="20"/>
                <w:szCs w:val="20"/>
              </w:rPr>
            </w:pPr>
            <w:r w:rsidRPr="004C38A6">
              <w:rPr>
                <w:rFonts w:ascii="Arial" w:hAnsi="Arial" w:cs="Arial"/>
                <w:sz w:val="20"/>
                <w:szCs w:val="20"/>
              </w:rPr>
              <w:t>17-18</w:t>
            </w:r>
          </w:p>
        </w:tc>
        <w:tc>
          <w:tcPr>
            <w:tcW w:w="8558" w:type="dxa"/>
          </w:tcPr>
          <w:p w14:paraId="7D66ACA4"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70DC5CAA" w14:textId="156AEA7E" w:rsidR="00B40993" w:rsidRPr="004C38A6" w:rsidRDefault="00A90352" w:rsidP="004C38A6">
            <w:pPr>
              <w:spacing w:line="276" w:lineRule="auto"/>
              <w:rPr>
                <w:rFonts w:ascii="Arial" w:hAnsi="Arial" w:cs="Arial"/>
                <w:b/>
                <w:bCs/>
                <w:sz w:val="20"/>
                <w:szCs w:val="20"/>
              </w:rPr>
            </w:pPr>
            <w:r w:rsidRPr="004C38A6">
              <w:rPr>
                <w:rFonts w:ascii="Arial" w:hAnsi="Arial" w:cs="Arial"/>
                <w:b/>
                <w:bCs/>
                <w:sz w:val="20"/>
                <w:szCs w:val="20"/>
              </w:rPr>
              <w:t>Medical history: contraindications and precautions</w:t>
            </w:r>
          </w:p>
          <w:p w14:paraId="6ED673ED" w14:textId="77777777" w:rsidR="00A90352" w:rsidRPr="004C38A6" w:rsidRDefault="00A90352" w:rsidP="004C38A6">
            <w:pPr>
              <w:pStyle w:val="Default"/>
              <w:spacing w:line="276" w:lineRule="auto"/>
              <w:rPr>
                <w:sz w:val="20"/>
                <w:szCs w:val="20"/>
              </w:rPr>
            </w:pPr>
          </w:p>
          <w:p w14:paraId="5D459426" w14:textId="77777777" w:rsidR="0021056D" w:rsidRPr="004C38A6" w:rsidRDefault="00A90352" w:rsidP="004C38A6">
            <w:pPr>
              <w:pStyle w:val="Default"/>
              <w:spacing w:line="276" w:lineRule="auto"/>
              <w:rPr>
                <w:sz w:val="20"/>
                <w:szCs w:val="20"/>
              </w:rPr>
            </w:pPr>
            <w:r w:rsidRPr="004C38A6">
              <w:rPr>
                <w:sz w:val="20"/>
                <w:szCs w:val="20"/>
              </w:rPr>
              <w:t xml:space="preserve">A very small number of individuals have experienced anaphylaxis when vaccinated with the Pfizer </w:t>
            </w:r>
            <w:proofErr w:type="spellStart"/>
            <w:r w:rsidRPr="004C38A6">
              <w:rPr>
                <w:sz w:val="20"/>
                <w:szCs w:val="20"/>
              </w:rPr>
              <w:t>BioNTech</w:t>
            </w:r>
            <w:proofErr w:type="spellEnd"/>
            <w:r w:rsidRPr="004C38A6">
              <w:rPr>
                <w:sz w:val="20"/>
                <w:szCs w:val="20"/>
              </w:rPr>
              <w:t xml:space="preserve"> COVID-19 vaccine. </w:t>
            </w:r>
          </w:p>
          <w:p w14:paraId="48CCE239" w14:textId="77777777" w:rsidR="0021056D" w:rsidRPr="004C38A6" w:rsidRDefault="00A90352" w:rsidP="004C38A6">
            <w:pPr>
              <w:pStyle w:val="Default"/>
              <w:numPr>
                <w:ilvl w:val="0"/>
                <w:numId w:val="5"/>
              </w:numPr>
              <w:spacing w:line="276" w:lineRule="auto"/>
              <w:rPr>
                <w:sz w:val="20"/>
                <w:szCs w:val="20"/>
                <w:lang w:bidi="en-GB"/>
              </w:rPr>
            </w:pPr>
            <w:r w:rsidRPr="004C38A6">
              <w:rPr>
                <w:sz w:val="20"/>
                <w:szCs w:val="20"/>
                <w:lang w:bidi="en-GB"/>
              </w:rPr>
              <w:t xml:space="preserve">MHRA has advised that individuals with a history of anaphylaxis to food, an identified drug or vaccine, or an insect sting can receive any COVID-19 vaccine, as long as they are not known to be allergic to any component (excipient) of the vaccine. </w:t>
            </w:r>
          </w:p>
          <w:p w14:paraId="45E6E9AA" w14:textId="09571323" w:rsidR="00A90352" w:rsidRPr="004C38A6" w:rsidRDefault="00A90352" w:rsidP="004C38A6">
            <w:pPr>
              <w:pStyle w:val="Default"/>
              <w:numPr>
                <w:ilvl w:val="0"/>
                <w:numId w:val="5"/>
              </w:numPr>
              <w:spacing w:line="276" w:lineRule="auto"/>
              <w:rPr>
                <w:sz w:val="20"/>
                <w:szCs w:val="20"/>
                <w:lang w:bidi="en-GB"/>
              </w:rPr>
            </w:pPr>
            <w:r w:rsidRPr="004C38A6">
              <w:rPr>
                <w:sz w:val="20"/>
                <w:szCs w:val="20"/>
                <w:lang w:bidi="en-GB"/>
              </w:rPr>
              <w:t>All recipients of the Covid-19 vaccine should kept for observation and monitored for a minimum of 15 minutes.</w:t>
            </w:r>
          </w:p>
          <w:p w14:paraId="6C85D478" w14:textId="77777777" w:rsidR="0021056D" w:rsidRPr="004C38A6" w:rsidRDefault="0021056D" w:rsidP="004C38A6">
            <w:pPr>
              <w:pStyle w:val="Default"/>
              <w:spacing w:line="276" w:lineRule="auto"/>
              <w:ind w:left="720"/>
              <w:rPr>
                <w:sz w:val="20"/>
                <w:szCs w:val="20"/>
                <w:lang w:bidi="en-GB"/>
              </w:rPr>
            </w:pPr>
          </w:p>
          <w:p w14:paraId="5CD90A10" w14:textId="0ABAE723" w:rsidR="00A90352" w:rsidRPr="004C38A6" w:rsidRDefault="00A90352" w:rsidP="004C38A6">
            <w:pPr>
              <w:pStyle w:val="Default"/>
              <w:numPr>
                <w:ilvl w:val="0"/>
                <w:numId w:val="5"/>
              </w:numPr>
              <w:spacing w:line="276" w:lineRule="auto"/>
              <w:rPr>
                <w:sz w:val="20"/>
                <w:szCs w:val="20"/>
                <w:lang w:bidi="en-GB"/>
              </w:rPr>
            </w:pPr>
            <w:r w:rsidRPr="00A90352">
              <w:rPr>
                <w:sz w:val="20"/>
                <w:szCs w:val="20"/>
                <w:lang w:bidi="en-GB"/>
              </w:rPr>
              <w:t>The British Society for Allergy and Clinical Immunology (BSACI) has</w:t>
            </w:r>
            <w:r w:rsidR="0021056D" w:rsidRPr="004C38A6">
              <w:rPr>
                <w:sz w:val="20"/>
                <w:szCs w:val="20"/>
                <w:lang w:bidi="en-GB"/>
              </w:rPr>
              <w:t xml:space="preserve"> </w:t>
            </w:r>
            <w:r w:rsidRPr="00A90352">
              <w:rPr>
                <w:sz w:val="20"/>
                <w:szCs w:val="20"/>
                <w:lang w:bidi="en-GB"/>
              </w:rPr>
              <w:t>advised that:</w:t>
            </w:r>
          </w:p>
          <w:p w14:paraId="3F41D493" w14:textId="77777777" w:rsidR="0021056D" w:rsidRPr="00A90352" w:rsidRDefault="0021056D" w:rsidP="004C38A6">
            <w:pPr>
              <w:pStyle w:val="Default"/>
              <w:spacing w:line="276" w:lineRule="auto"/>
              <w:ind w:left="720"/>
              <w:rPr>
                <w:sz w:val="20"/>
                <w:szCs w:val="20"/>
                <w:lang w:bidi="en-GB"/>
              </w:rPr>
            </w:pPr>
          </w:p>
          <w:p w14:paraId="0D63E2DB" w14:textId="03FBFF1F" w:rsidR="00A90352" w:rsidRPr="004C38A6" w:rsidRDefault="00A90352" w:rsidP="004C38A6">
            <w:pPr>
              <w:pStyle w:val="Default"/>
              <w:numPr>
                <w:ilvl w:val="1"/>
                <w:numId w:val="5"/>
              </w:numPr>
              <w:spacing w:line="276" w:lineRule="auto"/>
              <w:rPr>
                <w:sz w:val="20"/>
                <w:szCs w:val="20"/>
                <w:lang w:bidi="en-GB"/>
              </w:rPr>
            </w:pPr>
            <w:r w:rsidRPr="00A90352">
              <w:rPr>
                <w:sz w:val="20"/>
                <w:szCs w:val="20"/>
                <w:lang w:bidi="en-GB"/>
              </w:rPr>
              <w:t xml:space="preserve">individuals with a history of immediate onset-anaphylaxis to multiple classes of drugs or an unexplained anaphylaxis should not be vaccinated with the Pfizer </w:t>
            </w:r>
            <w:proofErr w:type="spellStart"/>
            <w:r w:rsidRPr="00A90352">
              <w:rPr>
                <w:sz w:val="20"/>
                <w:szCs w:val="20"/>
                <w:lang w:bidi="en-GB"/>
              </w:rPr>
              <w:t>BioNTech</w:t>
            </w:r>
            <w:proofErr w:type="spellEnd"/>
            <w:r w:rsidRPr="00A90352">
              <w:rPr>
                <w:sz w:val="20"/>
                <w:szCs w:val="20"/>
                <w:lang w:bidi="en-GB"/>
              </w:rPr>
              <w:t xml:space="preserve"> vaccine. The AstraZeneca vaccine can be used as an alternative (if not otherwise contraindicated)</w:t>
            </w:r>
          </w:p>
          <w:p w14:paraId="7576F61D" w14:textId="77777777" w:rsidR="0021056D" w:rsidRPr="00A90352" w:rsidRDefault="0021056D" w:rsidP="004C38A6">
            <w:pPr>
              <w:pStyle w:val="Default"/>
              <w:spacing w:line="276" w:lineRule="auto"/>
              <w:ind w:left="1270"/>
              <w:rPr>
                <w:sz w:val="20"/>
                <w:szCs w:val="20"/>
                <w:lang w:bidi="en-GB"/>
              </w:rPr>
            </w:pPr>
          </w:p>
          <w:p w14:paraId="4C029345" w14:textId="6FCCBD07" w:rsidR="00A90352" w:rsidRPr="004C38A6" w:rsidRDefault="00A90352" w:rsidP="004C38A6">
            <w:pPr>
              <w:pStyle w:val="Default"/>
              <w:numPr>
                <w:ilvl w:val="1"/>
                <w:numId w:val="8"/>
              </w:numPr>
              <w:spacing w:line="276" w:lineRule="auto"/>
              <w:rPr>
                <w:sz w:val="20"/>
                <w:szCs w:val="20"/>
                <w:lang w:bidi="en-GB"/>
              </w:rPr>
            </w:pPr>
            <w:r w:rsidRPr="00A90352">
              <w:rPr>
                <w:sz w:val="20"/>
                <w:szCs w:val="20"/>
                <w:lang w:bidi="en-GB"/>
              </w:rPr>
              <w:t>individuals with a localised urticarial (itchy) skin reaction (without systemic symptoms) to the first dose of a COVID-19 vaccine should receive the second dose of vaccine with prolonged observation (30 minutes) in a setting with full resuscitation facilities (e.g. a hospital)</w:t>
            </w:r>
          </w:p>
          <w:p w14:paraId="1C7CB78C" w14:textId="77777777" w:rsidR="0021056D" w:rsidRPr="00A90352" w:rsidRDefault="0021056D" w:rsidP="004C38A6">
            <w:pPr>
              <w:pStyle w:val="Default"/>
              <w:spacing w:line="276" w:lineRule="auto"/>
              <w:ind w:left="990"/>
              <w:rPr>
                <w:sz w:val="20"/>
                <w:szCs w:val="20"/>
                <w:lang w:bidi="en-GB"/>
              </w:rPr>
            </w:pPr>
          </w:p>
          <w:p w14:paraId="19D8A240" w14:textId="77777777" w:rsidR="00A90352" w:rsidRPr="00A90352" w:rsidRDefault="00A90352" w:rsidP="004C38A6">
            <w:pPr>
              <w:pStyle w:val="Default"/>
              <w:numPr>
                <w:ilvl w:val="1"/>
                <w:numId w:val="9"/>
              </w:numPr>
              <w:spacing w:line="276" w:lineRule="auto"/>
              <w:rPr>
                <w:sz w:val="20"/>
                <w:szCs w:val="20"/>
                <w:lang w:bidi="en-GB"/>
              </w:rPr>
            </w:pPr>
            <w:r w:rsidRPr="00A90352">
              <w:rPr>
                <w:sz w:val="20"/>
                <w:szCs w:val="20"/>
                <w:lang w:bidi="en-GB"/>
              </w:rPr>
              <w:t>individuals with non-allergic reactions (vasovagal episodes, non-urticarial skin reaction or non-specific symptoms) to the first dose of a COVID-19 vaccine can receive the second dose of vaccine in any vaccination setting</w:t>
            </w:r>
          </w:p>
          <w:p w14:paraId="6A54E76C" w14:textId="4B25E452" w:rsidR="00A90352" w:rsidRPr="00015D31" w:rsidRDefault="00A90352" w:rsidP="004C38A6">
            <w:pPr>
              <w:pStyle w:val="Default"/>
              <w:numPr>
                <w:ilvl w:val="0"/>
                <w:numId w:val="6"/>
              </w:numPr>
              <w:spacing w:line="276" w:lineRule="auto"/>
              <w:rPr>
                <w:sz w:val="20"/>
                <w:szCs w:val="20"/>
                <w:lang w:bidi="en-GB"/>
              </w:rPr>
            </w:pPr>
            <w:r w:rsidRPr="00A90352">
              <w:rPr>
                <w:sz w:val="20"/>
                <w:szCs w:val="20"/>
                <w:lang w:bidi="en-GB"/>
              </w:rPr>
              <w:t>Syncope (fainting) can occur following, or even before, any vaccination especially in adolescents as a psychogenic response to the needle injection. This can be accompanied by several neurological signs such as transient visual disturbance, paraesthesia and tonic-</w:t>
            </w:r>
            <w:proofErr w:type="spellStart"/>
            <w:r w:rsidRPr="00A90352">
              <w:rPr>
                <w:sz w:val="20"/>
                <w:szCs w:val="20"/>
                <w:lang w:bidi="en-GB"/>
              </w:rPr>
              <w:t>clonic</w:t>
            </w:r>
            <w:proofErr w:type="spellEnd"/>
            <w:r w:rsidRPr="00A90352">
              <w:rPr>
                <w:sz w:val="20"/>
                <w:szCs w:val="20"/>
                <w:lang w:bidi="en-GB"/>
              </w:rPr>
              <w:t xml:space="preserve"> limb movements during recovery. It is important that procedures are in place to avoid injury from faints.</w:t>
            </w:r>
          </w:p>
        </w:tc>
      </w:tr>
      <w:tr w:rsidR="00B40993" w:rsidRPr="004C38A6" w14:paraId="74AA6151" w14:textId="77777777" w:rsidTr="004C38A6">
        <w:trPr>
          <w:trHeight w:val="397"/>
        </w:trPr>
        <w:tc>
          <w:tcPr>
            <w:tcW w:w="939" w:type="dxa"/>
          </w:tcPr>
          <w:p w14:paraId="4C61FDD1" w14:textId="3CE29436" w:rsidR="00B40993" w:rsidRPr="004C38A6" w:rsidRDefault="0021056D" w:rsidP="004C38A6">
            <w:pPr>
              <w:spacing w:line="276" w:lineRule="auto"/>
              <w:rPr>
                <w:rFonts w:ascii="Arial" w:hAnsi="Arial" w:cs="Arial"/>
                <w:sz w:val="20"/>
                <w:szCs w:val="20"/>
              </w:rPr>
            </w:pPr>
            <w:r w:rsidRPr="004C38A6">
              <w:rPr>
                <w:rFonts w:ascii="Arial" w:hAnsi="Arial" w:cs="Arial"/>
                <w:sz w:val="20"/>
                <w:szCs w:val="20"/>
              </w:rPr>
              <w:t>4</w:t>
            </w:r>
          </w:p>
        </w:tc>
        <w:tc>
          <w:tcPr>
            <w:tcW w:w="621" w:type="dxa"/>
          </w:tcPr>
          <w:p w14:paraId="66532792" w14:textId="7AF3816F" w:rsidR="00B40993" w:rsidRPr="004C38A6" w:rsidRDefault="0021056D" w:rsidP="004C38A6">
            <w:pPr>
              <w:spacing w:line="276" w:lineRule="auto"/>
              <w:rPr>
                <w:rFonts w:ascii="Arial" w:hAnsi="Arial" w:cs="Arial"/>
                <w:sz w:val="20"/>
                <w:szCs w:val="20"/>
              </w:rPr>
            </w:pPr>
            <w:r w:rsidRPr="004C38A6">
              <w:rPr>
                <w:rFonts w:ascii="Arial" w:hAnsi="Arial" w:cs="Arial"/>
                <w:sz w:val="20"/>
                <w:szCs w:val="20"/>
              </w:rPr>
              <w:t>18</w:t>
            </w:r>
          </w:p>
        </w:tc>
        <w:tc>
          <w:tcPr>
            <w:tcW w:w="8558" w:type="dxa"/>
          </w:tcPr>
          <w:p w14:paraId="4F16D83D"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02993196" w14:textId="66FA0271" w:rsidR="0021056D" w:rsidRPr="004C38A6" w:rsidRDefault="0021056D" w:rsidP="004C38A6">
            <w:pPr>
              <w:pStyle w:val="Default"/>
              <w:spacing w:line="276" w:lineRule="auto"/>
              <w:rPr>
                <w:sz w:val="20"/>
                <w:szCs w:val="20"/>
              </w:rPr>
            </w:pPr>
            <w:r w:rsidRPr="004C38A6">
              <w:rPr>
                <w:b/>
                <w:bCs/>
                <w:sz w:val="20"/>
                <w:szCs w:val="20"/>
              </w:rPr>
              <w:t xml:space="preserve">Other vaccinations </w:t>
            </w:r>
          </w:p>
          <w:p w14:paraId="1F21F46B" w14:textId="07B50E09" w:rsidR="00B40993" w:rsidRPr="004C38A6" w:rsidRDefault="0021056D" w:rsidP="00015D31">
            <w:pPr>
              <w:pStyle w:val="Default"/>
              <w:spacing w:line="276" w:lineRule="auto"/>
              <w:rPr>
                <w:sz w:val="20"/>
                <w:szCs w:val="20"/>
              </w:rPr>
            </w:pPr>
            <w:r w:rsidRPr="004C38A6">
              <w:rPr>
                <w:sz w:val="20"/>
                <w:szCs w:val="20"/>
              </w:rPr>
              <w:t xml:space="preserve">• For all patient groups, COVID-19 vaccines should not routinely be given if any other vaccination (e.g. influenza) has been received within the last 7 days. </w:t>
            </w:r>
            <w:r w:rsidRPr="004C38A6">
              <w:rPr>
                <w:sz w:val="20"/>
                <w:szCs w:val="20"/>
                <w:lang w:bidi="en-GB"/>
              </w:rPr>
              <w:t xml:space="preserve">Further details are provided in the </w:t>
            </w:r>
            <w:hyperlink r:id="rId19">
              <w:r w:rsidRPr="004C38A6">
                <w:rPr>
                  <w:rStyle w:val="Hyperlink"/>
                  <w:sz w:val="20"/>
                  <w:szCs w:val="20"/>
                  <w:lang w:bidi="en-GB"/>
                </w:rPr>
                <w:t>Green Book Chapter on COVID-19</w:t>
              </w:r>
            </w:hyperlink>
            <w:hyperlink r:id="rId20">
              <w:r w:rsidRPr="004C38A6">
                <w:rPr>
                  <w:rStyle w:val="Hyperlink"/>
                  <w:sz w:val="20"/>
                  <w:szCs w:val="20"/>
                  <w:lang w:bidi="en-GB"/>
                </w:rPr>
                <w:t xml:space="preserve"> vaccination page 12</w:t>
              </w:r>
            </w:hyperlink>
            <w:r w:rsidRPr="004C38A6">
              <w:rPr>
                <w:sz w:val="20"/>
                <w:szCs w:val="20"/>
                <w:lang w:bidi="en-GB"/>
              </w:rPr>
              <w:t>.</w:t>
            </w:r>
          </w:p>
        </w:tc>
      </w:tr>
      <w:tr w:rsidR="00B40993" w:rsidRPr="004C38A6" w14:paraId="40422032" w14:textId="77777777" w:rsidTr="004C38A6">
        <w:trPr>
          <w:trHeight w:val="397"/>
        </w:trPr>
        <w:tc>
          <w:tcPr>
            <w:tcW w:w="939" w:type="dxa"/>
          </w:tcPr>
          <w:p w14:paraId="47646653" w14:textId="1A151E3C" w:rsidR="00B40993" w:rsidRPr="004C38A6" w:rsidRDefault="0021056D" w:rsidP="004C38A6">
            <w:pPr>
              <w:spacing w:line="276" w:lineRule="auto"/>
              <w:rPr>
                <w:rFonts w:ascii="Arial" w:hAnsi="Arial" w:cs="Arial"/>
                <w:sz w:val="20"/>
                <w:szCs w:val="20"/>
              </w:rPr>
            </w:pPr>
            <w:r w:rsidRPr="004C38A6">
              <w:rPr>
                <w:rFonts w:ascii="Arial" w:hAnsi="Arial" w:cs="Arial"/>
                <w:sz w:val="20"/>
                <w:szCs w:val="20"/>
              </w:rPr>
              <w:t>4.2</w:t>
            </w:r>
          </w:p>
        </w:tc>
        <w:tc>
          <w:tcPr>
            <w:tcW w:w="621" w:type="dxa"/>
          </w:tcPr>
          <w:p w14:paraId="71B64867" w14:textId="20D34941" w:rsidR="00B40993" w:rsidRPr="004C38A6" w:rsidRDefault="0021056D" w:rsidP="004C38A6">
            <w:pPr>
              <w:spacing w:line="276" w:lineRule="auto"/>
              <w:rPr>
                <w:rFonts w:ascii="Arial" w:hAnsi="Arial" w:cs="Arial"/>
                <w:sz w:val="20"/>
                <w:szCs w:val="20"/>
              </w:rPr>
            </w:pPr>
            <w:r w:rsidRPr="004C38A6">
              <w:rPr>
                <w:rFonts w:ascii="Arial" w:hAnsi="Arial" w:cs="Arial"/>
                <w:sz w:val="20"/>
                <w:szCs w:val="20"/>
              </w:rPr>
              <w:t>19</w:t>
            </w:r>
          </w:p>
        </w:tc>
        <w:tc>
          <w:tcPr>
            <w:tcW w:w="8558" w:type="dxa"/>
          </w:tcPr>
          <w:p w14:paraId="07E9C330"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19B86DC4" w14:textId="3A72704E" w:rsidR="0021056D" w:rsidRPr="00C02884" w:rsidRDefault="0021056D" w:rsidP="004C38A6">
            <w:pPr>
              <w:pStyle w:val="Default"/>
              <w:spacing w:line="276" w:lineRule="auto"/>
              <w:rPr>
                <w:b/>
                <w:bCs/>
                <w:sz w:val="20"/>
                <w:szCs w:val="20"/>
              </w:rPr>
            </w:pPr>
            <w:r w:rsidRPr="00C02884">
              <w:rPr>
                <w:b/>
                <w:bCs/>
                <w:sz w:val="20"/>
                <w:szCs w:val="20"/>
              </w:rPr>
              <w:t xml:space="preserve">4.2 Dosage schedule </w:t>
            </w:r>
          </w:p>
          <w:p w14:paraId="5357A502" w14:textId="77777777" w:rsidR="0021056D" w:rsidRPr="004C38A6" w:rsidRDefault="0021056D" w:rsidP="004C38A6">
            <w:pPr>
              <w:pStyle w:val="Default"/>
              <w:numPr>
                <w:ilvl w:val="0"/>
                <w:numId w:val="6"/>
              </w:numPr>
              <w:spacing w:line="276" w:lineRule="auto"/>
              <w:rPr>
                <w:sz w:val="20"/>
                <w:szCs w:val="20"/>
              </w:rPr>
            </w:pPr>
            <w:r w:rsidRPr="004C38A6">
              <w:rPr>
                <w:sz w:val="20"/>
                <w:szCs w:val="20"/>
              </w:rPr>
              <w:t>For both Pfizer/</w:t>
            </w:r>
            <w:proofErr w:type="spellStart"/>
            <w:r w:rsidRPr="004C38A6">
              <w:rPr>
                <w:sz w:val="20"/>
                <w:szCs w:val="20"/>
              </w:rPr>
              <w:t>BioNTech</w:t>
            </w:r>
            <w:proofErr w:type="spellEnd"/>
            <w:r w:rsidRPr="004C38A6">
              <w:rPr>
                <w:sz w:val="20"/>
                <w:szCs w:val="20"/>
              </w:rPr>
              <w:t xml:space="preserve"> and Oxford/AstraZeneca vaccines, a two-dose schedule is advised. </w:t>
            </w:r>
          </w:p>
          <w:p w14:paraId="13B1A29D" w14:textId="77777777" w:rsidR="0021056D" w:rsidRPr="004C38A6" w:rsidRDefault="0021056D" w:rsidP="004C38A6">
            <w:pPr>
              <w:pStyle w:val="Default"/>
              <w:numPr>
                <w:ilvl w:val="0"/>
                <w:numId w:val="6"/>
              </w:numPr>
              <w:spacing w:line="276" w:lineRule="auto"/>
              <w:rPr>
                <w:sz w:val="20"/>
                <w:szCs w:val="20"/>
              </w:rPr>
            </w:pPr>
            <w:r w:rsidRPr="004C38A6">
              <w:rPr>
                <w:sz w:val="20"/>
                <w:szCs w:val="20"/>
              </w:rPr>
              <w:t>The second dose of the Pfizer/</w:t>
            </w:r>
            <w:proofErr w:type="spellStart"/>
            <w:r w:rsidRPr="004C38A6">
              <w:rPr>
                <w:sz w:val="20"/>
                <w:szCs w:val="20"/>
              </w:rPr>
              <w:t>BioNTech</w:t>
            </w:r>
            <w:proofErr w:type="spellEnd"/>
            <w:r w:rsidRPr="004C38A6">
              <w:rPr>
                <w:sz w:val="20"/>
                <w:szCs w:val="20"/>
              </w:rPr>
              <w:t xml:space="preserve"> vaccine may be given between 3 to 12 weeks following the first dose. </w:t>
            </w:r>
          </w:p>
          <w:p w14:paraId="64622F64" w14:textId="1BE3F819" w:rsidR="0021056D" w:rsidRPr="004C38A6" w:rsidRDefault="0021056D" w:rsidP="004C38A6">
            <w:pPr>
              <w:pStyle w:val="Default"/>
              <w:numPr>
                <w:ilvl w:val="0"/>
                <w:numId w:val="6"/>
              </w:numPr>
              <w:spacing w:line="276" w:lineRule="auto"/>
              <w:rPr>
                <w:sz w:val="20"/>
                <w:szCs w:val="20"/>
              </w:rPr>
            </w:pPr>
            <w:r w:rsidRPr="004C38A6">
              <w:rPr>
                <w:sz w:val="20"/>
                <w:szCs w:val="20"/>
              </w:rPr>
              <w:t xml:space="preserve">The second dose of the Oxford/AstraZeneca vaccine may be given between 4 to 12 weeks following the first dose. </w:t>
            </w:r>
          </w:p>
          <w:p w14:paraId="25C0FE39" w14:textId="77777777" w:rsidR="0021056D" w:rsidRPr="004C38A6" w:rsidRDefault="0021056D" w:rsidP="004C38A6">
            <w:pPr>
              <w:pStyle w:val="Default"/>
              <w:spacing w:line="276" w:lineRule="auto"/>
              <w:rPr>
                <w:sz w:val="20"/>
                <w:szCs w:val="20"/>
              </w:rPr>
            </w:pPr>
            <w:r w:rsidRPr="004C38A6">
              <w:rPr>
                <w:sz w:val="20"/>
                <w:szCs w:val="20"/>
              </w:rPr>
              <w:t xml:space="preserve">Following a review of clinical evidence and latest public health data, the JCVI and the Department for Health and Social Care has published updated guidance for the NHS on the </w:t>
            </w:r>
            <w:r w:rsidRPr="004C38A6">
              <w:rPr>
                <w:sz w:val="20"/>
                <w:szCs w:val="20"/>
              </w:rPr>
              <w:lastRenderedPageBreak/>
              <w:t xml:space="preserve">prioritisation of first doses of COVID-19 Vaccines. The revised guidance recommends that as many people on JCVI priority list possible should sequentially be offered a first vaccine dose as the initial priority. This will protect the greatest number of at risk people overall in the shortest possible time and will have the greatest impact in reducing mortality, severe disease and hospitalisation. </w:t>
            </w:r>
          </w:p>
          <w:p w14:paraId="790497D8" w14:textId="77E5A3F3" w:rsidR="00B40993" w:rsidRPr="004C38A6" w:rsidRDefault="0021056D" w:rsidP="004C38A6">
            <w:pPr>
              <w:spacing w:line="276" w:lineRule="auto"/>
              <w:rPr>
                <w:rFonts w:ascii="Arial" w:hAnsi="Arial" w:cs="Arial"/>
                <w:sz w:val="20"/>
                <w:szCs w:val="20"/>
              </w:rPr>
            </w:pPr>
            <w:r w:rsidRPr="004C38A6">
              <w:rPr>
                <w:rFonts w:ascii="Arial" w:hAnsi="Arial" w:cs="Arial"/>
                <w:sz w:val="20"/>
                <w:szCs w:val="20"/>
              </w:rPr>
              <w:t>Operationally this will mean that the second dose of both vaccines will be administered towards the end of the recommended vaccine dosing schedule of 12 weeks with most booked in the last week of the 12 week period.</w:t>
            </w:r>
          </w:p>
        </w:tc>
      </w:tr>
      <w:tr w:rsidR="00B40993" w:rsidRPr="004C38A6" w14:paraId="1CC7DEDE" w14:textId="77777777" w:rsidTr="004C38A6">
        <w:trPr>
          <w:trHeight w:val="397"/>
        </w:trPr>
        <w:tc>
          <w:tcPr>
            <w:tcW w:w="939" w:type="dxa"/>
          </w:tcPr>
          <w:p w14:paraId="43D9F934" w14:textId="0E02C1CB" w:rsidR="00B40993" w:rsidRPr="004C38A6" w:rsidRDefault="00C02884" w:rsidP="004C38A6">
            <w:pPr>
              <w:spacing w:line="276" w:lineRule="auto"/>
              <w:rPr>
                <w:rFonts w:ascii="Arial" w:hAnsi="Arial" w:cs="Arial"/>
                <w:sz w:val="20"/>
                <w:szCs w:val="20"/>
              </w:rPr>
            </w:pPr>
            <w:r>
              <w:rPr>
                <w:rFonts w:ascii="Arial" w:hAnsi="Arial" w:cs="Arial"/>
                <w:sz w:val="20"/>
                <w:szCs w:val="20"/>
              </w:rPr>
              <w:lastRenderedPageBreak/>
              <w:t>4.3</w:t>
            </w:r>
          </w:p>
        </w:tc>
        <w:tc>
          <w:tcPr>
            <w:tcW w:w="621" w:type="dxa"/>
          </w:tcPr>
          <w:p w14:paraId="1C3A0DF8" w14:textId="3324D870" w:rsidR="00B40993" w:rsidRPr="004C38A6" w:rsidRDefault="0060569C" w:rsidP="004C38A6">
            <w:pPr>
              <w:spacing w:line="276" w:lineRule="auto"/>
              <w:rPr>
                <w:rFonts w:ascii="Arial" w:hAnsi="Arial" w:cs="Arial"/>
                <w:sz w:val="20"/>
                <w:szCs w:val="20"/>
              </w:rPr>
            </w:pPr>
            <w:r w:rsidRPr="004C38A6">
              <w:rPr>
                <w:rFonts w:ascii="Arial" w:hAnsi="Arial" w:cs="Arial"/>
                <w:sz w:val="20"/>
                <w:szCs w:val="20"/>
              </w:rPr>
              <w:t>20</w:t>
            </w:r>
          </w:p>
        </w:tc>
        <w:tc>
          <w:tcPr>
            <w:tcW w:w="8558" w:type="dxa"/>
          </w:tcPr>
          <w:p w14:paraId="3D9F561E"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41EE14EF" w14:textId="2DF1BA31" w:rsidR="0060569C" w:rsidRPr="004C38A6" w:rsidRDefault="0060569C" w:rsidP="004C38A6">
            <w:pPr>
              <w:spacing w:line="276" w:lineRule="auto"/>
              <w:rPr>
                <w:rFonts w:ascii="Arial" w:hAnsi="Arial" w:cs="Arial"/>
                <w:b/>
                <w:bCs/>
                <w:sz w:val="20"/>
                <w:szCs w:val="20"/>
              </w:rPr>
            </w:pPr>
            <w:r w:rsidRPr="004C38A6">
              <w:rPr>
                <w:rFonts w:ascii="Arial" w:hAnsi="Arial" w:cs="Arial"/>
                <w:b/>
                <w:bCs/>
                <w:sz w:val="20"/>
                <w:szCs w:val="20"/>
              </w:rPr>
              <w:t>Bookings</w:t>
            </w:r>
          </w:p>
          <w:p w14:paraId="21D24EE8" w14:textId="7BE5A86F" w:rsidR="0060569C" w:rsidRPr="004C38A6" w:rsidRDefault="0060569C" w:rsidP="004C38A6">
            <w:pPr>
              <w:spacing w:line="276" w:lineRule="auto"/>
              <w:rPr>
                <w:rFonts w:ascii="Arial" w:hAnsi="Arial" w:cs="Arial"/>
                <w:sz w:val="20"/>
                <w:szCs w:val="20"/>
              </w:rPr>
            </w:pPr>
            <w:r w:rsidRPr="004C38A6">
              <w:rPr>
                <w:rFonts w:ascii="Arial" w:hAnsi="Arial" w:cs="Arial"/>
                <w:sz w:val="20"/>
                <w:szCs w:val="20"/>
              </w:rPr>
              <w:t>Patients registered with practices which have chosen not to sign up to the Enhanced Service</w:t>
            </w:r>
            <w:r w:rsidR="00015D31">
              <w:rPr>
                <w:rFonts w:ascii="Arial" w:hAnsi="Arial" w:cs="Arial"/>
                <w:sz w:val="20"/>
                <w:szCs w:val="20"/>
              </w:rPr>
              <w:t>…</w:t>
            </w:r>
          </w:p>
          <w:p w14:paraId="7A36A0E8" w14:textId="25895D70" w:rsidR="00B40993" w:rsidRPr="004C38A6" w:rsidRDefault="0060569C" w:rsidP="004C38A6">
            <w:pPr>
              <w:pStyle w:val="ListParagraph"/>
              <w:numPr>
                <w:ilvl w:val="0"/>
                <w:numId w:val="10"/>
              </w:numPr>
              <w:spacing w:line="276" w:lineRule="auto"/>
              <w:rPr>
                <w:rFonts w:ascii="Arial" w:hAnsi="Arial" w:cs="Arial"/>
                <w:sz w:val="20"/>
                <w:szCs w:val="20"/>
              </w:rPr>
            </w:pPr>
            <w:r w:rsidRPr="004C38A6">
              <w:rPr>
                <w:rFonts w:ascii="Arial" w:hAnsi="Arial" w:cs="Arial"/>
                <w:sz w:val="20"/>
                <w:szCs w:val="20"/>
              </w:rPr>
              <w:t>National call and recall communications will also direct these patients how to access the National Booking System so they can secure a vaccination through another provider.</w:t>
            </w:r>
          </w:p>
        </w:tc>
      </w:tr>
      <w:tr w:rsidR="00B40993" w:rsidRPr="004C38A6" w14:paraId="08D4A343" w14:textId="77777777" w:rsidTr="004C38A6">
        <w:trPr>
          <w:trHeight w:val="397"/>
        </w:trPr>
        <w:tc>
          <w:tcPr>
            <w:tcW w:w="939" w:type="dxa"/>
          </w:tcPr>
          <w:p w14:paraId="3ABDA46B" w14:textId="5D39C2F1" w:rsidR="00B40993" w:rsidRPr="004C38A6" w:rsidRDefault="0060569C" w:rsidP="004C38A6">
            <w:pPr>
              <w:spacing w:line="276" w:lineRule="auto"/>
              <w:rPr>
                <w:rFonts w:ascii="Arial" w:hAnsi="Arial" w:cs="Arial"/>
                <w:sz w:val="20"/>
                <w:szCs w:val="20"/>
              </w:rPr>
            </w:pPr>
            <w:r w:rsidRPr="004C38A6">
              <w:rPr>
                <w:rFonts w:ascii="Arial" w:hAnsi="Arial" w:cs="Arial"/>
                <w:sz w:val="20"/>
                <w:szCs w:val="20"/>
              </w:rPr>
              <w:t>4.5</w:t>
            </w:r>
          </w:p>
        </w:tc>
        <w:tc>
          <w:tcPr>
            <w:tcW w:w="621" w:type="dxa"/>
          </w:tcPr>
          <w:p w14:paraId="18597870" w14:textId="55901616" w:rsidR="00B40993" w:rsidRPr="004C38A6" w:rsidRDefault="0060569C" w:rsidP="004C38A6">
            <w:pPr>
              <w:spacing w:line="276" w:lineRule="auto"/>
              <w:rPr>
                <w:rFonts w:ascii="Arial" w:hAnsi="Arial" w:cs="Arial"/>
                <w:sz w:val="20"/>
                <w:szCs w:val="20"/>
              </w:rPr>
            </w:pPr>
            <w:r w:rsidRPr="004C38A6">
              <w:rPr>
                <w:rFonts w:ascii="Arial" w:hAnsi="Arial" w:cs="Arial"/>
                <w:sz w:val="20"/>
                <w:szCs w:val="20"/>
              </w:rPr>
              <w:t>21</w:t>
            </w:r>
          </w:p>
        </w:tc>
        <w:tc>
          <w:tcPr>
            <w:tcW w:w="8558" w:type="dxa"/>
          </w:tcPr>
          <w:p w14:paraId="43A0BD3D"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3A2AEF16" w14:textId="1AD13E8C" w:rsidR="00B40993" w:rsidRPr="004C38A6" w:rsidRDefault="0060569C" w:rsidP="004C38A6">
            <w:pPr>
              <w:spacing w:line="276" w:lineRule="auto"/>
              <w:rPr>
                <w:rFonts w:ascii="Arial" w:hAnsi="Arial" w:cs="Arial"/>
                <w:b/>
                <w:bCs/>
                <w:sz w:val="20"/>
                <w:szCs w:val="20"/>
              </w:rPr>
            </w:pPr>
            <w:r w:rsidRPr="004C38A6">
              <w:rPr>
                <w:rFonts w:ascii="Arial" w:hAnsi="Arial" w:cs="Arial"/>
                <w:b/>
                <w:bCs/>
                <w:sz w:val="20"/>
                <w:szCs w:val="20"/>
              </w:rPr>
              <w:t>Consent</w:t>
            </w:r>
          </w:p>
          <w:p w14:paraId="1A04E504" w14:textId="77777777" w:rsidR="0060569C" w:rsidRPr="004C38A6" w:rsidRDefault="0060569C" w:rsidP="004C38A6">
            <w:pPr>
              <w:pStyle w:val="ListParagraph"/>
              <w:numPr>
                <w:ilvl w:val="0"/>
                <w:numId w:val="10"/>
              </w:numPr>
              <w:spacing w:line="276" w:lineRule="auto"/>
              <w:rPr>
                <w:rFonts w:ascii="Arial" w:hAnsi="Arial" w:cs="Arial"/>
                <w:sz w:val="20"/>
                <w:szCs w:val="20"/>
              </w:rPr>
            </w:pPr>
            <w:r w:rsidRPr="004C38A6">
              <w:rPr>
                <w:rFonts w:ascii="Arial" w:hAnsi="Arial" w:cs="Arial"/>
                <w:sz w:val="20"/>
                <w:szCs w:val="20"/>
              </w:rPr>
              <w:t xml:space="preserve">The giving and obtaining of consent is viewed as a process, not a one-off event. </w:t>
            </w:r>
          </w:p>
          <w:p w14:paraId="2326F5E9" w14:textId="77777777" w:rsidR="0060569C" w:rsidRPr="004C38A6" w:rsidRDefault="0060569C" w:rsidP="004C38A6">
            <w:pPr>
              <w:pStyle w:val="ListParagraph"/>
              <w:numPr>
                <w:ilvl w:val="0"/>
                <w:numId w:val="10"/>
              </w:numPr>
              <w:spacing w:line="276" w:lineRule="auto"/>
              <w:rPr>
                <w:rFonts w:ascii="Arial" w:hAnsi="Arial" w:cs="Arial"/>
                <w:b/>
                <w:bCs/>
                <w:sz w:val="20"/>
                <w:szCs w:val="20"/>
              </w:rPr>
            </w:pPr>
            <w:r w:rsidRPr="004C38A6">
              <w:rPr>
                <w:rFonts w:ascii="Arial" w:hAnsi="Arial" w:cs="Arial"/>
                <w:sz w:val="20"/>
                <w:szCs w:val="20"/>
              </w:rPr>
              <w:t xml:space="preserve">Consent should still be sought on the occasion of each immunisation visit. </w:t>
            </w:r>
          </w:p>
          <w:p w14:paraId="35FB4668" w14:textId="77777777" w:rsidR="0060569C" w:rsidRPr="004C38A6" w:rsidRDefault="0060569C" w:rsidP="004C38A6">
            <w:pPr>
              <w:pStyle w:val="ListParagraph"/>
              <w:numPr>
                <w:ilvl w:val="0"/>
                <w:numId w:val="10"/>
              </w:numPr>
              <w:spacing w:line="276" w:lineRule="auto"/>
              <w:rPr>
                <w:rFonts w:ascii="Arial" w:hAnsi="Arial" w:cs="Arial"/>
                <w:b/>
                <w:bCs/>
                <w:sz w:val="20"/>
                <w:szCs w:val="20"/>
              </w:rPr>
            </w:pPr>
            <w:r w:rsidRPr="004C38A6">
              <w:rPr>
                <w:rFonts w:ascii="Arial" w:hAnsi="Arial" w:cs="Arial"/>
                <w:sz w:val="20"/>
                <w:szCs w:val="20"/>
              </w:rPr>
              <w:t>Consent must be given voluntarily and freely</w:t>
            </w:r>
          </w:p>
          <w:p w14:paraId="3B6E12D1" w14:textId="4A94DDD3" w:rsidR="0060569C" w:rsidRPr="004C38A6" w:rsidRDefault="0060569C" w:rsidP="004C38A6">
            <w:pPr>
              <w:pStyle w:val="ListParagraph"/>
              <w:numPr>
                <w:ilvl w:val="0"/>
                <w:numId w:val="10"/>
              </w:numPr>
              <w:spacing w:line="276" w:lineRule="auto"/>
              <w:rPr>
                <w:rFonts w:ascii="Arial" w:hAnsi="Arial" w:cs="Arial"/>
                <w:b/>
                <w:bCs/>
                <w:sz w:val="20"/>
                <w:szCs w:val="20"/>
              </w:rPr>
            </w:pPr>
            <w:r w:rsidRPr="004C38A6">
              <w:rPr>
                <w:rFonts w:ascii="Arial" w:hAnsi="Arial" w:cs="Arial"/>
                <w:sz w:val="20"/>
                <w:szCs w:val="20"/>
              </w:rPr>
              <w:t>Consent remains valid unless the individual who gave it withdraws it. If there is new information between the time consent was given and when the immunisation is offered, it may be necessary to inform the patient and for them to re-confirm their consent.</w:t>
            </w:r>
          </w:p>
        </w:tc>
      </w:tr>
      <w:tr w:rsidR="00173A9A" w:rsidRPr="004C38A6" w14:paraId="1AB393CD" w14:textId="77777777" w:rsidTr="004C38A6">
        <w:trPr>
          <w:trHeight w:val="397"/>
        </w:trPr>
        <w:tc>
          <w:tcPr>
            <w:tcW w:w="939" w:type="dxa"/>
          </w:tcPr>
          <w:p w14:paraId="43B1E6BD" w14:textId="77777777" w:rsidR="00173A9A" w:rsidRPr="004C38A6" w:rsidRDefault="00173A9A" w:rsidP="004C38A6">
            <w:pPr>
              <w:spacing w:line="276" w:lineRule="auto"/>
              <w:rPr>
                <w:rFonts w:ascii="Arial" w:hAnsi="Arial" w:cs="Arial"/>
                <w:sz w:val="20"/>
                <w:szCs w:val="20"/>
              </w:rPr>
            </w:pPr>
          </w:p>
        </w:tc>
        <w:tc>
          <w:tcPr>
            <w:tcW w:w="621" w:type="dxa"/>
          </w:tcPr>
          <w:p w14:paraId="1AEDBE53" w14:textId="6F586E5F" w:rsidR="00173A9A" w:rsidRPr="004C38A6" w:rsidRDefault="00173A9A" w:rsidP="004C38A6">
            <w:pPr>
              <w:spacing w:line="276" w:lineRule="auto"/>
              <w:rPr>
                <w:rFonts w:ascii="Arial" w:hAnsi="Arial" w:cs="Arial"/>
                <w:sz w:val="20"/>
                <w:szCs w:val="20"/>
              </w:rPr>
            </w:pPr>
            <w:r w:rsidRPr="004C38A6">
              <w:rPr>
                <w:rFonts w:ascii="Arial" w:hAnsi="Arial" w:cs="Arial"/>
                <w:sz w:val="20"/>
                <w:szCs w:val="20"/>
              </w:rPr>
              <w:t>22</w:t>
            </w:r>
          </w:p>
        </w:tc>
        <w:tc>
          <w:tcPr>
            <w:tcW w:w="8558" w:type="dxa"/>
          </w:tcPr>
          <w:p w14:paraId="415F13B7" w14:textId="77777777" w:rsidR="00173A9A" w:rsidRPr="004C38A6" w:rsidRDefault="00173A9A" w:rsidP="004C38A6">
            <w:pPr>
              <w:spacing w:line="276" w:lineRule="auto"/>
              <w:rPr>
                <w:rFonts w:ascii="Arial" w:hAnsi="Arial" w:cs="Arial"/>
                <w:b/>
                <w:bCs/>
                <w:sz w:val="20"/>
                <w:szCs w:val="20"/>
              </w:rPr>
            </w:pPr>
            <w:r w:rsidRPr="004C38A6">
              <w:rPr>
                <w:rFonts w:ascii="Arial" w:hAnsi="Arial" w:cs="Arial"/>
                <w:b/>
                <w:bCs/>
                <w:sz w:val="20"/>
                <w:szCs w:val="20"/>
              </w:rPr>
              <w:t>Consent</w:t>
            </w:r>
          </w:p>
          <w:p w14:paraId="7F9E2922" w14:textId="77777777" w:rsidR="00173A9A" w:rsidRPr="004C38A6" w:rsidRDefault="00173A9A" w:rsidP="004C38A6">
            <w:pPr>
              <w:spacing w:line="276" w:lineRule="auto"/>
              <w:rPr>
                <w:rFonts w:ascii="Arial" w:hAnsi="Arial" w:cs="Arial"/>
                <w:b/>
                <w:bCs/>
                <w:sz w:val="20"/>
                <w:szCs w:val="20"/>
              </w:rPr>
            </w:pPr>
            <w:r w:rsidRPr="004C38A6">
              <w:rPr>
                <w:rFonts w:ascii="Arial" w:hAnsi="Arial" w:cs="Arial"/>
                <w:b/>
                <w:bCs/>
                <w:sz w:val="20"/>
                <w:szCs w:val="20"/>
              </w:rPr>
              <w:t>Patients who may lack relevant mental capacity</w:t>
            </w:r>
          </w:p>
          <w:p w14:paraId="2DAB2B94" w14:textId="30199280" w:rsidR="00173A9A" w:rsidRPr="004C38A6" w:rsidRDefault="00173A9A" w:rsidP="004C38A6">
            <w:pPr>
              <w:pStyle w:val="ListParagraph"/>
              <w:numPr>
                <w:ilvl w:val="0"/>
                <w:numId w:val="11"/>
              </w:numPr>
              <w:spacing w:line="276" w:lineRule="auto"/>
              <w:rPr>
                <w:rFonts w:ascii="Arial" w:hAnsi="Arial" w:cs="Arial"/>
                <w:b/>
                <w:bCs/>
                <w:sz w:val="20"/>
                <w:szCs w:val="20"/>
              </w:rPr>
            </w:pPr>
            <w:r w:rsidRPr="004C38A6">
              <w:rPr>
                <w:rFonts w:ascii="Arial" w:hAnsi="Arial" w:cs="Arial"/>
                <w:sz w:val="20"/>
                <w:szCs w:val="20"/>
              </w:rPr>
              <w:t>Where the person giving consent is not the patient (e.g. is their deputy or attorney etc) the name of that person and their relationship to the patient should also be recorded.</w:t>
            </w:r>
          </w:p>
        </w:tc>
      </w:tr>
      <w:tr w:rsidR="00173A9A" w:rsidRPr="004C38A6" w14:paraId="1079D02A" w14:textId="77777777" w:rsidTr="004C38A6">
        <w:trPr>
          <w:trHeight w:val="397"/>
        </w:trPr>
        <w:tc>
          <w:tcPr>
            <w:tcW w:w="939" w:type="dxa"/>
          </w:tcPr>
          <w:p w14:paraId="5E3A465D" w14:textId="486B0B27" w:rsidR="00173A9A" w:rsidRPr="004C38A6" w:rsidRDefault="00173A9A" w:rsidP="004C38A6">
            <w:pPr>
              <w:spacing w:line="276" w:lineRule="auto"/>
              <w:rPr>
                <w:rFonts w:ascii="Arial" w:hAnsi="Arial" w:cs="Arial"/>
                <w:sz w:val="20"/>
                <w:szCs w:val="20"/>
              </w:rPr>
            </w:pPr>
            <w:r w:rsidRPr="004C38A6">
              <w:rPr>
                <w:rFonts w:ascii="Arial" w:hAnsi="Arial" w:cs="Arial"/>
                <w:sz w:val="20"/>
                <w:szCs w:val="20"/>
              </w:rPr>
              <w:t>4.8</w:t>
            </w:r>
          </w:p>
        </w:tc>
        <w:tc>
          <w:tcPr>
            <w:tcW w:w="621" w:type="dxa"/>
          </w:tcPr>
          <w:p w14:paraId="7CAA40C3" w14:textId="1ADDBCBE" w:rsidR="00173A9A" w:rsidRPr="004C38A6" w:rsidRDefault="00173A9A" w:rsidP="004C38A6">
            <w:pPr>
              <w:spacing w:line="276" w:lineRule="auto"/>
              <w:rPr>
                <w:rFonts w:ascii="Arial" w:hAnsi="Arial" w:cs="Arial"/>
                <w:sz w:val="20"/>
                <w:szCs w:val="20"/>
              </w:rPr>
            </w:pPr>
            <w:r w:rsidRPr="004C38A6">
              <w:rPr>
                <w:rFonts w:ascii="Arial" w:hAnsi="Arial" w:cs="Arial"/>
                <w:sz w:val="20"/>
                <w:szCs w:val="20"/>
              </w:rPr>
              <w:t>24</w:t>
            </w:r>
          </w:p>
        </w:tc>
        <w:tc>
          <w:tcPr>
            <w:tcW w:w="8558" w:type="dxa"/>
          </w:tcPr>
          <w:p w14:paraId="056AABE1" w14:textId="77777777" w:rsidR="00C02884" w:rsidRPr="004C38A6" w:rsidRDefault="00C02884" w:rsidP="00C02884">
            <w:pPr>
              <w:spacing w:line="276" w:lineRule="auto"/>
              <w:rPr>
                <w:rFonts w:ascii="Arial" w:hAnsi="Arial" w:cs="Arial"/>
                <w:b/>
                <w:bCs/>
                <w:sz w:val="20"/>
                <w:szCs w:val="20"/>
              </w:rPr>
            </w:pPr>
            <w:r w:rsidRPr="004C38A6">
              <w:rPr>
                <w:rFonts w:ascii="Arial" w:hAnsi="Arial" w:cs="Arial"/>
                <w:b/>
                <w:bCs/>
                <w:sz w:val="20"/>
                <w:szCs w:val="20"/>
              </w:rPr>
              <w:t>Operating Model</w:t>
            </w:r>
          </w:p>
          <w:p w14:paraId="296FAAE9" w14:textId="0888A701" w:rsidR="00173A9A" w:rsidRPr="004C38A6" w:rsidRDefault="00173A9A" w:rsidP="004C38A6">
            <w:pPr>
              <w:spacing w:line="276" w:lineRule="auto"/>
              <w:rPr>
                <w:rFonts w:ascii="Arial" w:hAnsi="Arial" w:cs="Arial"/>
                <w:b/>
                <w:bCs/>
                <w:sz w:val="20"/>
                <w:szCs w:val="20"/>
              </w:rPr>
            </w:pPr>
            <w:r w:rsidRPr="004C38A6">
              <w:rPr>
                <w:rFonts w:ascii="Arial" w:hAnsi="Arial" w:cs="Arial"/>
                <w:b/>
                <w:bCs/>
                <w:sz w:val="20"/>
                <w:szCs w:val="20"/>
              </w:rPr>
              <w:t>Post Vaccination Observation</w:t>
            </w:r>
          </w:p>
          <w:p w14:paraId="126539F6" w14:textId="77777777" w:rsidR="00173A9A" w:rsidRPr="004C38A6" w:rsidRDefault="00173A9A" w:rsidP="004C38A6">
            <w:pPr>
              <w:pStyle w:val="ListParagraph"/>
              <w:numPr>
                <w:ilvl w:val="0"/>
                <w:numId w:val="11"/>
              </w:numPr>
              <w:spacing w:line="276" w:lineRule="auto"/>
              <w:rPr>
                <w:rFonts w:ascii="Arial" w:hAnsi="Arial" w:cs="Arial"/>
                <w:b/>
                <w:bCs/>
                <w:sz w:val="20"/>
                <w:szCs w:val="20"/>
              </w:rPr>
            </w:pPr>
            <w:r w:rsidRPr="004C38A6">
              <w:rPr>
                <w:rFonts w:ascii="Arial" w:hAnsi="Arial" w:cs="Arial"/>
                <w:sz w:val="20"/>
                <w:szCs w:val="20"/>
              </w:rPr>
              <w:t>For the Pfizer/</w:t>
            </w:r>
            <w:proofErr w:type="spellStart"/>
            <w:r w:rsidRPr="004C38A6">
              <w:rPr>
                <w:rFonts w:ascii="Arial" w:hAnsi="Arial" w:cs="Arial"/>
                <w:sz w:val="20"/>
                <w:szCs w:val="20"/>
              </w:rPr>
              <w:t>BioNtech</w:t>
            </w:r>
            <w:proofErr w:type="spellEnd"/>
            <w:r w:rsidRPr="004C38A6">
              <w:rPr>
                <w:rFonts w:ascii="Arial" w:hAnsi="Arial" w:cs="Arial"/>
                <w:sz w:val="20"/>
                <w:szCs w:val="20"/>
              </w:rPr>
              <w:t xml:space="preserve"> COVID vaccine, recipients should be monitored for 15 minutes after vaccination, with a longer observation period when indicated after clinical assessment, as set out in the MHRA statement.</w:t>
            </w:r>
          </w:p>
          <w:p w14:paraId="2A837705" w14:textId="30FF4D27" w:rsidR="00173A9A" w:rsidRPr="00015D31" w:rsidRDefault="00173A9A" w:rsidP="004C38A6">
            <w:pPr>
              <w:pStyle w:val="ListParagraph"/>
              <w:numPr>
                <w:ilvl w:val="0"/>
                <w:numId w:val="11"/>
              </w:numPr>
              <w:spacing w:line="276" w:lineRule="auto"/>
              <w:rPr>
                <w:rFonts w:ascii="Arial" w:hAnsi="Arial" w:cs="Arial"/>
                <w:b/>
                <w:bCs/>
                <w:sz w:val="20"/>
                <w:szCs w:val="20"/>
              </w:rPr>
            </w:pPr>
            <w:r w:rsidRPr="004C38A6">
              <w:rPr>
                <w:rFonts w:ascii="Arial" w:hAnsi="Arial" w:cs="Arial"/>
                <w:sz w:val="20"/>
                <w:szCs w:val="20"/>
              </w:rPr>
              <w:t>For the Oxford/AstraZeneca there is not a requirement for 15 minutes observation unless this is indicated after clinical assessment</w:t>
            </w:r>
          </w:p>
        </w:tc>
      </w:tr>
      <w:tr w:rsidR="00173A9A" w:rsidRPr="004C38A6" w14:paraId="70E1EFCC" w14:textId="77777777" w:rsidTr="004C38A6">
        <w:trPr>
          <w:trHeight w:val="397"/>
        </w:trPr>
        <w:tc>
          <w:tcPr>
            <w:tcW w:w="939" w:type="dxa"/>
          </w:tcPr>
          <w:p w14:paraId="33A809B7" w14:textId="15F8ADFF" w:rsidR="00173A9A" w:rsidRPr="004C38A6" w:rsidRDefault="00173A9A" w:rsidP="004C38A6">
            <w:pPr>
              <w:spacing w:line="276" w:lineRule="auto"/>
              <w:rPr>
                <w:rFonts w:ascii="Arial" w:hAnsi="Arial" w:cs="Arial"/>
                <w:sz w:val="20"/>
                <w:szCs w:val="20"/>
              </w:rPr>
            </w:pPr>
            <w:r w:rsidRPr="004C38A6">
              <w:rPr>
                <w:rFonts w:ascii="Arial" w:hAnsi="Arial" w:cs="Arial"/>
                <w:sz w:val="20"/>
                <w:szCs w:val="20"/>
              </w:rPr>
              <w:t>5</w:t>
            </w:r>
          </w:p>
        </w:tc>
        <w:tc>
          <w:tcPr>
            <w:tcW w:w="621" w:type="dxa"/>
          </w:tcPr>
          <w:p w14:paraId="50898626" w14:textId="76F17972" w:rsidR="00173A9A" w:rsidRPr="004C38A6" w:rsidRDefault="00173A9A" w:rsidP="004C38A6">
            <w:pPr>
              <w:spacing w:line="276" w:lineRule="auto"/>
              <w:rPr>
                <w:rFonts w:ascii="Arial" w:hAnsi="Arial" w:cs="Arial"/>
                <w:sz w:val="20"/>
                <w:szCs w:val="20"/>
              </w:rPr>
            </w:pPr>
            <w:r w:rsidRPr="004C38A6">
              <w:rPr>
                <w:rFonts w:ascii="Arial" w:hAnsi="Arial" w:cs="Arial"/>
                <w:sz w:val="20"/>
                <w:szCs w:val="20"/>
              </w:rPr>
              <w:t>26</w:t>
            </w:r>
          </w:p>
        </w:tc>
        <w:tc>
          <w:tcPr>
            <w:tcW w:w="8558" w:type="dxa"/>
          </w:tcPr>
          <w:p w14:paraId="799A2EC9" w14:textId="77777777" w:rsidR="00173A9A" w:rsidRPr="004C38A6" w:rsidRDefault="00173A9A" w:rsidP="004C38A6">
            <w:pPr>
              <w:spacing w:line="276" w:lineRule="auto"/>
              <w:rPr>
                <w:rFonts w:ascii="Arial" w:hAnsi="Arial" w:cs="Arial"/>
                <w:b/>
                <w:bCs/>
                <w:sz w:val="20"/>
                <w:szCs w:val="20"/>
              </w:rPr>
            </w:pPr>
            <w:r w:rsidRPr="004C38A6">
              <w:rPr>
                <w:rFonts w:ascii="Arial" w:hAnsi="Arial" w:cs="Arial"/>
                <w:b/>
                <w:bCs/>
                <w:sz w:val="20"/>
                <w:szCs w:val="20"/>
              </w:rPr>
              <w:t>Appendix A Workforce Planning</w:t>
            </w:r>
          </w:p>
          <w:p w14:paraId="3989D86E" w14:textId="77777777" w:rsidR="00173A9A" w:rsidRPr="004C38A6" w:rsidRDefault="00173A9A" w:rsidP="004C38A6">
            <w:pPr>
              <w:pStyle w:val="Default"/>
              <w:numPr>
                <w:ilvl w:val="0"/>
                <w:numId w:val="12"/>
              </w:numPr>
              <w:spacing w:line="276" w:lineRule="auto"/>
              <w:rPr>
                <w:sz w:val="20"/>
                <w:szCs w:val="20"/>
              </w:rPr>
            </w:pPr>
            <w:r w:rsidRPr="004C38A6">
              <w:rPr>
                <w:sz w:val="20"/>
                <w:szCs w:val="20"/>
              </w:rPr>
              <w:t xml:space="preserve">Workforce support offer available to all COVID-19 vaccination centres. </w:t>
            </w:r>
          </w:p>
          <w:p w14:paraId="6AE46EF8" w14:textId="77777777" w:rsidR="00173A9A" w:rsidRPr="004C38A6" w:rsidRDefault="00173A9A" w:rsidP="004C38A6">
            <w:pPr>
              <w:pStyle w:val="Default"/>
              <w:numPr>
                <w:ilvl w:val="0"/>
                <w:numId w:val="12"/>
              </w:numPr>
              <w:spacing w:line="276" w:lineRule="auto"/>
              <w:rPr>
                <w:sz w:val="20"/>
                <w:szCs w:val="20"/>
              </w:rPr>
            </w:pPr>
            <w:r w:rsidRPr="004C38A6">
              <w:rPr>
                <w:sz w:val="20"/>
                <w:szCs w:val="20"/>
              </w:rPr>
              <w:t xml:space="preserve">Each Integrated Care System (ICS) has a designated Workforce Lead Employer which will act as an operational workforce hub for the all vaccination providers in the local area. </w:t>
            </w:r>
          </w:p>
          <w:p w14:paraId="548FC33A" w14:textId="7840D97C" w:rsidR="00173A9A" w:rsidRPr="004C38A6" w:rsidRDefault="00173A9A" w:rsidP="004C38A6">
            <w:pPr>
              <w:pStyle w:val="Default"/>
              <w:numPr>
                <w:ilvl w:val="0"/>
                <w:numId w:val="12"/>
              </w:numPr>
              <w:spacing w:line="276" w:lineRule="auto"/>
              <w:rPr>
                <w:sz w:val="20"/>
                <w:szCs w:val="20"/>
              </w:rPr>
            </w:pPr>
            <w:r w:rsidRPr="004C38A6">
              <w:rPr>
                <w:sz w:val="20"/>
                <w:szCs w:val="20"/>
              </w:rPr>
              <w:t xml:space="preserve">They can provide both health care professionals for employment such as returners to professional lists and volunteers such as St John’s Ambulance staff. </w:t>
            </w:r>
          </w:p>
          <w:p w14:paraId="46EC4362" w14:textId="0B3C7BE3" w:rsidR="00173A9A" w:rsidRPr="00015D31" w:rsidRDefault="00173A9A" w:rsidP="00015D31">
            <w:pPr>
              <w:pStyle w:val="ListParagraph"/>
              <w:numPr>
                <w:ilvl w:val="0"/>
                <w:numId w:val="12"/>
              </w:numPr>
              <w:spacing w:line="276" w:lineRule="auto"/>
              <w:rPr>
                <w:rFonts w:ascii="Arial" w:hAnsi="Arial" w:cs="Arial"/>
                <w:b/>
                <w:bCs/>
                <w:sz w:val="20"/>
                <w:szCs w:val="20"/>
              </w:rPr>
            </w:pPr>
            <w:r w:rsidRPr="004C38A6">
              <w:rPr>
                <w:rFonts w:ascii="Arial" w:hAnsi="Arial" w:cs="Arial"/>
                <w:sz w:val="20"/>
                <w:szCs w:val="20"/>
              </w:rPr>
              <w:t xml:space="preserve">The Lead Employer will work with all providers on workforce communications, management of rostering systems for volunteers and National Workforce suppliers and will have oversight of mandatory and statutory training of these staff. </w:t>
            </w:r>
          </w:p>
        </w:tc>
      </w:tr>
      <w:tr w:rsidR="00173A9A" w:rsidRPr="004C38A6" w14:paraId="74749BB5" w14:textId="77777777" w:rsidTr="004C38A6">
        <w:trPr>
          <w:trHeight w:val="397"/>
        </w:trPr>
        <w:tc>
          <w:tcPr>
            <w:tcW w:w="939" w:type="dxa"/>
          </w:tcPr>
          <w:p w14:paraId="45BCE27D" w14:textId="61F5B197" w:rsidR="00173A9A" w:rsidRPr="004C38A6" w:rsidRDefault="00C13593" w:rsidP="004C38A6">
            <w:pPr>
              <w:spacing w:line="276" w:lineRule="auto"/>
              <w:rPr>
                <w:rFonts w:ascii="Arial" w:hAnsi="Arial" w:cs="Arial"/>
                <w:sz w:val="20"/>
                <w:szCs w:val="20"/>
              </w:rPr>
            </w:pPr>
            <w:r w:rsidRPr="004C38A6">
              <w:rPr>
                <w:rFonts w:ascii="Arial" w:hAnsi="Arial" w:cs="Arial"/>
                <w:sz w:val="20"/>
                <w:szCs w:val="20"/>
              </w:rPr>
              <w:t>5</w:t>
            </w:r>
          </w:p>
        </w:tc>
        <w:tc>
          <w:tcPr>
            <w:tcW w:w="621" w:type="dxa"/>
          </w:tcPr>
          <w:p w14:paraId="7A499DB6" w14:textId="23181824" w:rsidR="00173A9A" w:rsidRPr="004C38A6" w:rsidRDefault="00C13593" w:rsidP="004C38A6">
            <w:pPr>
              <w:spacing w:line="276" w:lineRule="auto"/>
              <w:rPr>
                <w:rFonts w:ascii="Arial" w:hAnsi="Arial" w:cs="Arial"/>
                <w:sz w:val="20"/>
                <w:szCs w:val="20"/>
              </w:rPr>
            </w:pPr>
            <w:r w:rsidRPr="004C38A6">
              <w:rPr>
                <w:rFonts w:ascii="Arial" w:hAnsi="Arial" w:cs="Arial"/>
                <w:sz w:val="20"/>
                <w:szCs w:val="20"/>
              </w:rPr>
              <w:t>30</w:t>
            </w:r>
          </w:p>
        </w:tc>
        <w:tc>
          <w:tcPr>
            <w:tcW w:w="8558" w:type="dxa"/>
          </w:tcPr>
          <w:p w14:paraId="59C03ACF" w14:textId="177E9999" w:rsidR="00173A9A" w:rsidRPr="00C02884" w:rsidRDefault="00C13593" w:rsidP="004C38A6">
            <w:pPr>
              <w:spacing w:line="276" w:lineRule="auto"/>
              <w:rPr>
                <w:rFonts w:ascii="Arial" w:hAnsi="Arial" w:cs="Arial"/>
                <w:b/>
                <w:bCs/>
                <w:sz w:val="20"/>
                <w:szCs w:val="20"/>
              </w:rPr>
            </w:pPr>
            <w:r w:rsidRPr="00C02884">
              <w:rPr>
                <w:rFonts w:ascii="Arial" w:hAnsi="Arial" w:cs="Arial"/>
                <w:b/>
                <w:bCs/>
                <w:sz w:val="20"/>
                <w:szCs w:val="20"/>
              </w:rPr>
              <w:t xml:space="preserve">Appendix D: </w:t>
            </w:r>
          </w:p>
          <w:p w14:paraId="51B89872" w14:textId="77777777" w:rsidR="00C13593" w:rsidRPr="004C38A6" w:rsidRDefault="00C13593" w:rsidP="004C38A6">
            <w:pPr>
              <w:pStyle w:val="Default"/>
              <w:spacing w:line="276" w:lineRule="auto"/>
              <w:rPr>
                <w:sz w:val="20"/>
                <w:szCs w:val="20"/>
              </w:rPr>
            </w:pPr>
            <w:r w:rsidRPr="004C38A6">
              <w:rPr>
                <w:b/>
                <w:bCs/>
                <w:sz w:val="20"/>
                <w:szCs w:val="20"/>
              </w:rPr>
              <w:t xml:space="preserve">Guidance for COVID-19 vaccination in care homes that have cases and outbreaks </w:t>
            </w:r>
          </w:p>
          <w:p w14:paraId="16E5BAB8" w14:textId="77777777" w:rsidR="009E5607" w:rsidRPr="004C38A6" w:rsidRDefault="00C13593" w:rsidP="004C38A6">
            <w:pPr>
              <w:pStyle w:val="ListParagraph"/>
              <w:numPr>
                <w:ilvl w:val="0"/>
                <w:numId w:val="14"/>
              </w:numPr>
              <w:spacing w:line="276" w:lineRule="auto"/>
              <w:rPr>
                <w:rFonts w:ascii="Arial" w:hAnsi="Arial" w:cs="Arial"/>
                <w:b/>
                <w:bCs/>
                <w:sz w:val="20"/>
                <w:szCs w:val="20"/>
              </w:rPr>
            </w:pPr>
            <w:r w:rsidRPr="004C38A6">
              <w:rPr>
                <w:rFonts w:ascii="Arial" w:hAnsi="Arial" w:cs="Arial"/>
                <w:sz w:val="20"/>
                <w:szCs w:val="20"/>
              </w:rPr>
              <w:t>COVID vaccine should be offered to older adults in care homes and their carers</w:t>
            </w:r>
          </w:p>
          <w:p w14:paraId="51C365F0" w14:textId="77777777" w:rsidR="009E5607" w:rsidRPr="004C38A6" w:rsidRDefault="00C13593" w:rsidP="004C38A6">
            <w:pPr>
              <w:pStyle w:val="ListParagraph"/>
              <w:numPr>
                <w:ilvl w:val="0"/>
                <w:numId w:val="14"/>
              </w:numPr>
              <w:spacing w:line="276" w:lineRule="auto"/>
              <w:rPr>
                <w:rFonts w:ascii="Arial" w:hAnsi="Arial" w:cs="Arial"/>
                <w:b/>
                <w:bCs/>
                <w:sz w:val="20"/>
                <w:szCs w:val="20"/>
              </w:rPr>
            </w:pPr>
            <w:r w:rsidRPr="004C38A6">
              <w:rPr>
                <w:rFonts w:ascii="Arial" w:hAnsi="Arial" w:cs="Arial"/>
                <w:sz w:val="20"/>
                <w:szCs w:val="20"/>
              </w:rPr>
              <w:t xml:space="preserve">This includes when other residents have been diagnosed as having COVID-19 infection. </w:t>
            </w:r>
          </w:p>
          <w:p w14:paraId="0ACDCC94" w14:textId="77777777" w:rsidR="009E5607" w:rsidRPr="004C38A6" w:rsidRDefault="00C13593" w:rsidP="004C38A6">
            <w:pPr>
              <w:pStyle w:val="ListParagraph"/>
              <w:numPr>
                <w:ilvl w:val="0"/>
                <w:numId w:val="14"/>
              </w:numPr>
              <w:spacing w:line="276" w:lineRule="auto"/>
              <w:rPr>
                <w:rFonts w:ascii="Arial" w:hAnsi="Arial" w:cs="Arial"/>
                <w:b/>
                <w:bCs/>
                <w:sz w:val="20"/>
                <w:szCs w:val="20"/>
              </w:rPr>
            </w:pPr>
            <w:r w:rsidRPr="004C38A6">
              <w:rPr>
                <w:rFonts w:ascii="Arial" w:hAnsi="Arial" w:cs="Arial"/>
                <w:sz w:val="20"/>
                <w:szCs w:val="20"/>
              </w:rPr>
              <w:t xml:space="preserve">A number of factors will need to be considered before an immunisation team attends a care home. It is recommended that a risk assessment is carried out by the lead </w:t>
            </w:r>
            <w:r w:rsidRPr="004C38A6">
              <w:rPr>
                <w:rFonts w:ascii="Arial" w:hAnsi="Arial" w:cs="Arial"/>
                <w:sz w:val="20"/>
                <w:szCs w:val="20"/>
              </w:rPr>
              <w:lastRenderedPageBreak/>
              <w:t xml:space="preserve">vaccinator and that this is performed in conjunction with the care home manager. </w:t>
            </w:r>
          </w:p>
          <w:p w14:paraId="75345A2E" w14:textId="7141630A" w:rsidR="00C13593" w:rsidRPr="004C38A6" w:rsidRDefault="00C13593" w:rsidP="004C38A6">
            <w:pPr>
              <w:pStyle w:val="ListParagraph"/>
              <w:numPr>
                <w:ilvl w:val="0"/>
                <w:numId w:val="14"/>
              </w:numPr>
              <w:spacing w:line="276" w:lineRule="auto"/>
              <w:rPr>
                <w:rFonts w:ascii="Arial" w:hAnsi="Arial" w:cs="Arial"/>
                <w:b/>
                <w:bCs/>
                <w:sz w:val="20"/>
                <w:szCs w:val="20"/>
              </w:rPr>
            </w:pPr>
            <w:r w:rsidRPr="004C38A6">
              <w:rPr>
                <w:rFonts w:ascii="Arial" w:hAnsi="Arial" w:cs="Arial"/>
                <w:sz w:val="20"/>
                <w:szCs w:val="20"/>
              </w:rPr>
              <w:t xml:space="preserve">If needed, advice should be sought from others such as the local health protection team, CCG infection prevention and control lead and local Director of Public Health. </w:t>
            </w:r>
            <w:hyperlink r:id="rId21" w:history="1">
              <w:r w:rsidRPr="004C38A6">
                <w:rPr>
                  <w:rStyle w:val="Hyperlink"/>
                  <w:rFonts w:ascii="Arial" w:hAnsi="Arial" w:cs="Arial"/>
                  <w:sz w:val="20"/>
                  <w:szCs w:val="20"/>
                </w:rPr>
                <w:t>Further guidance</w:t>
              </w:r>
            </w:hyperlink>
            <w:r w:rsidRPr="004C38A6">
              <w:rPr>
                <w:rFonts w:ascii="Arial" w:hAnsi="Arial" w:cs="Arial"/>
                <w:sz w:val="20"/>
                <w:szCs w:val="20"/>
              </w:rPr>
              <w:t xml:space="preserve"> </w:t>
            </w:r>
          </w:p>
        </w:tc>
      </w:tr>
      <w:tr w:rsidR="00173A9A" w:rsidRPr="004C38A6" w14:paraId="587902D0" w14:textId="77777777" w:rsidTr="004C38A6">
        <w:trPr>
          <w:trHeight w:val="397"/>
        </w:trPr>
        <w:tc>
          <w:tcPr>
            <w:tcW w:w="939" w:type="dxa"/>
          </w:tcPr>
          <w:p w14:paraId="78443B71" w14:textId="669F0ED1" w:rsidR="00173A9A" w:rsidRPr="004C38A6" w:rsidRDefault="009E5607" w:rsidP="004C38A6">
            <w:pPr>
              <w:spacing w:line="276" w:lineRule="auto"/>
              <w:rPr>
                <w:rFonts w:ascii="Arial" w:hAnsi="Arial" w:cs="Arial"/>
                <w:sz w:val="20"/>
                <w:szCs w:val="20"/>
              </w:rPr>
            </w:pPr>
            <w:r w:rsidRPr="004C38A6">
              <w:rPr>
                <w:rFonts w:ascii="Arial" w:hAnsi="Arial" w:cs="Arial"/>
                <w:sz w:val="20"/>
                <w:szCs w:val="20"/>
              </w:rPr>
              <w:lastRenderedPageBreak/>
              <w:t>5</w:t>
            </w:r>
          </w:p>
        </w:tc>
        <w:tc>
          <w:tcPr>
            <w:tcW w:w="621" w:type="dxa"/>
          </w:tcPr>
          <w:p w14:paraId="6CA96538" w14:textId="23D8B703" w:rsidR="00173A9A" w:rsidRPr="004C38A6" w:rsidRDefault="009E5607" w:rsidP="004C38A6">
            <w:pPr>
              <w:spacing w:line="276" w:lineRule="auto"/>
              <w:rPr>
                <w:rFonts w:ascii="Arial" w:hAnsi="Arial" w:cs="Arial"/>
                <w:sz w:val="20"/>
                <w:szCs w:val="20"/>
              </w:rPr>
            </w:pPr>
            <w:r w:rsidRPr="004C38A6">
              <w:rPr>
                <w:rFonts w:ascii="Arial" w:hAnsi="Arial" w:cs="Arial"/>
                <w:sz w:val="20"/>
                <w:szCs w:val="20"/>
              </w:rPr>
              <w:t>36</w:t>
            </w:r>
          </w:p>
        </w:tc>
        <w:tc>
          <w:tcPr>
            <w:tcW w:w="8558" w:type="dxa"/>
          </w:tcPr>
          <w:p w14:paraId="3086CBF3" w14:textId="0CE54E22" w:rsidR="00173A9A" w:rsidRPr="004C38A6" w:rsidRDefault="009E5607" w:rsidP="004C38A6">
            <w:pPr>
              <w:spacing w:line="276" w:lineRule="auto"/>
              <w:rPr>
                <w:rFonts w:ascii="Arial" w:hAnsi="Arial" w:cs="Arial"/>
                <w:b/>
                <w:bCs/>
                <w:sz w:val="20"/>
                <w:szCs w:val="20"/>
              </w:rPr>
            </w:pPr>
            <w:r w:rsidRPr="004C38A6">
              <w:rPr>
                <w:rFonts w:ascii="Arial" w:hAnsi="Arial" w:cs="Arial"/>
                <w:b/>
                <w:bCs/>
                <w:sz w:val="20"/>
                <w:szCs w:val="20"/>
              </w:rPr>
              <w:t>Appendix D</w:t>
            </w:r>
            <w:r w:rsidR="00C02884">
              <w:rPr>
                <w:rFonts w:ascii="Arial" w:hAnsi="Arial" w:cs="Arial"/>
                <w:b/>
                <w:bCs/>
                <w:sz w:val="20"/>
                <w:szCs w:val="20"/>
              </w:rPr>
              <w:t xml:space="preserve"> - </w:t>
            </w:r>
            <w:r w:rsidRPr="004C38A6">
              <w:rPr>
                <w:rFonts w:ascii="Arial" w:hAnsi="Arial" w:cs="Arial"/>
                <w:b/>
                <w:bCs/>
                <w:sz w:val="20"/>
                <w:szCs w:val="20"/>
              </w:rPr>
              <w:t>Vaccine provision for care homes</w:t>
            </w:r>
          </w:p>
          <w:p w14:paraId="399D0942" w14:textId="3DF75A87" w:rsidR="009E5607" w:rsidRPr="004C38A6" w:rsidRDefault="009E5607" w:rsidP="004C38A6">
            <w:pPr>
              <w:spacing w:line="276" w:lineRule="auto"/>
              <w:rPr>
                <w:rFonts w:ascii="Arial" w:hAnsi="Arial" w:cs="Arial"/>
                <w:sz w:val="20"/>
                <w:szCs w:val="20"/>
              </w:rPr>
            </w:pPr>
            <w:r w:rsidRPr="004C38A6">
              <w:rPr>
                <w:rFonts w:ascii="Arial" w:hAnsi="Arial" w:cs="Arial"/>
                <w:sz w:val="20"/>
                <w:szCs w:val="20"/>
              </w:rPr>
              <w:t>In addition to the Pfizer vaccine PCNs may access Oxford/AstraZeneca vaccine for use in small care homes and housebound patients.</w:t>
            </w:r>
          </w:p>
        </w:tc>
      </w:tr>
      <w:tr w:rsidR="00173A9A" w:rsidRPr="004C38A6" w14:paraId="553BE78D" w14:textId="77777777" w:rsidTr="004C38A6">
        <w:trPr>
          <w:trHeight w:val="397"/>
        </w:trPr>
        <w:tc>
          <w:tcPr>
            <w:tcW w:w="939" w:type="dxa"/>
          </w:tcPr>
          <w:p w14:paraId="65E1B253" w14:textId="77777777" w:rsidR="00173A9A" w:rsidRPr="004C38A6" w:rsidRDefault="00173A9A" w:rsidP="004C38A6">
            <w:pPr>
              <w:spacing w:line="276" w:lineRule="auto"/>
              <w:rPr>
                <w:rFonts w:ascii="Arial" w:hAnsi="Arial" w:cs="Arial"/>
                <w:sz w:val="20"/>
                <w:szCs w:val="20"/>
              </w:rPr>
            </w:pPr>
          </w:p>
        </w:tc>
        <w:tc>
          <w:tcPr>
            <w:tcW w:w="621" w:type="dxa"/>
          </w:tcPr>
          <w:p w14:paraId="1E830C7F" w14:textId="7EE61ECC" w:rsidR="00173A9A" w:rsidRPr="004C38A6" w:rsidRDefault="009E5607" w:rsidP="004C38A6">
            <w:pPr>
              <w:spacing w:line="276" w:lineRule="auto"/>
              <w:rPr>
                <w:rFonts w:ascii="Arial" w:hAnsi="Arial" w:cs="Arial"/>
                <w:sz w:val="20"/>
                <w:szCs w:val="20"/>
              </w:rPr>
            </w:pPr>
            <w:r w:rsidRPr="004C38A6">
              <w:rPr>
                <w:rFonts w:ascii="Arial" w:hAnsi="Arial" w:cs="Arial"/>
                <w:sz w:val="20"/>
                <w:szCs w:val="20"/>
              </w:rPr>
              <w:t>39</w:t>
            </w:r>
          </w:p>
        </w:tc>
        <w:tc>
          <w:tcPr>
            <w:tcW w:w="8558" w:type="dxa"/>
          </w:tcPr>
          <w:p w14:paraId="4FE9DA3F" w14:textId="440EED3D" w:rsidR="009E5607" w:rsidRPr="004C38A6" w:rsidRDefault="009E5607" w:rsidP="004C38A6">
            <w:pPr>
              <w:spacing w:line="276" w:lineRule="auto"/>
              <w:rPr>
                <w:rFonts w:ascii="Arial" w:hAnsi="Arial" w:cs="Arial"/>
                <w:b/>
                <w:bCs/>
                <w:sz w:val="20"/>
                <w:szCs w:val="20"/>
              </w:rPr>
            </w:pPr>
            <w:r w:rsidRPr="004C38A6">
              <w:rPr>
                <w:rFonts w:ascii="Arial" w:hAnsi="Arial" w:cs="Arial"/>
                <w:b/>
                <w:bCs/>
                <w:sz w:val="20"/>
                <w:szCs w:val="20"/>
              </w:rPr>
              <w:t>Appendix D</w:t>
            </w:r>
            <w:r w:rsidR="00C02884">
              <w:rPr>
                <w:rFonts w:ascii="Arial" w:hAnsi="Arial" w:cs="Arial"/>
                <w:b/>
                <w:bCs/>
                <w:sz w:val="20"/>
                <w:szCs w:val="20"/>
              </w:rPr>
              <w:t xml:space="preserve"> - </w:t>
            </w:r>
            <w:r w:rsidRPr="004C38A6">
              <w:rPr>
                <w:rFonts w:ascii="Arial" w:hAnsi="Arial" w:cs="Arial"/>
                <w:b/>
                <w:bCs/>
                <w:sz w:val="20"/>
                <w:szCs w:val="20"/>
              </w:rPr>
              <w:t>Vaccine provision for care homes</w:t>
            </w:r>
          </w:p>
          <w:p w14:paraId="0870F994" w14:textId="4AABAD81" w:rsidR="009E5607" w:rsidRPr="004C38A6" w:rsidRDefault="009E5607" w:rsidP="004C38A6">
            <w:pPr>
              <w:spacing w:line="276" w:lineRule="auto"/>
              <w:rPr>
                <w:rFonts w:ascii="Arial" w:hAnsi="Arial" w:cs="Arial"/>
                <w:b/>
                <w:bCs/>
                <w:sz w:val="20"/>
                <w:szCs w:val="20"/>
              </w:rPr>
            </w:pPr>
            <w:r w:rsidRPr="004C38A6">
              <w:rPr>
                <w:rFonts w:ascii="Arial" w:hAnsi="Arial" w:cs="Arial"/>
                <w:b/>
                <w:bCs/>
                <w:sz w:val="20"/>
                <w:szCs w:val="20"/>
              </w:rPr>
              <w:t>Cold Chain Management</w:t>
            </w:r>
          </w:p>
          <w:p w14:paraId="46E4D3AB" w14:textId="36516CED" w:rsidR="009E5607" w:rsidRPr="004C38A6" w:rsidRDefault="009E5607" w:rsidP="004C38A6">
            <w:pPr>
              <w:pStyle w:val="ListParagraph"/>
              <w:numPr>
                <w:ilvl w:val="0"/>
                <w:numId w:val="16"/>
              </w:numPr>
              <w:spacing w:line="276" w:lineRule="auto"/>
              <w:rPr>
                <w:rFonts w:ascii="Arial" w:hAnsi="Arial" w:cs="Arial"/>
                <w:b/>
                <w:bCs/>
                <w:sz w:val="20"/>
                <w:szCs w:val="20"/>
              </w:rPr>
            </w:pPr>
            <w:r w:rsidRPr="004C38A6">
              <w:rPr>
                <w:rFonts w:ascii="Arial" w:hAnsi="Arial" w:cs="Arial"/>
                <w:sz w:val="20"/>
                <w:szCs w:val="20"/>
              </w:rPr>
              <w:t xml:space="preserve">PCNs should follow the relevant vaccine </w:t>
            </w:r>
            <w:hyperlink r:id="rId22" w:history="1">
              <w:r w:rsidRPr="004C38A6">
                <w:rPr>
                  <w:rStyle w:val="Hyperlink"/>
                  <w:rFonts w:ascii="Arial" w:hAnsi="Arial" w:cs="Arial"/>
                  <w:sz w:val="20"/>
                  <w:szCs w:val="20"/>
                </w:rPr>
                <w:t>SPS SOP</w:t>
              </w:r>
            </w:hyperlink>
            <w:r w:rsidRPr="004C38A6">
              <w:rPr>
                <w:rFonts w:ascii="Arial" w:hAnsi="Arial" w:cs="Arial"/>
                <w:sz w:val="20"/>
                <w:szCs w:val="20"/>
              </w:rPr>
              <w:t xml:space="preserve">s. </w:t>
            </w:r>
          </w:p>
          <w:p w14:paraId="24831EA8" w14:textId="50D80583" w:rsidR="00AF53B6" w:rsidRPr="004C38A6" w:rsidRDefault="009E5607" w:rsidP="004C38A6">
            <w:pPr>
              <w:pStyle w:val="ListParagraph"/>
              <w:numPr>
                <w:ilvl w:val="0"/>
                <w:numId w:val="16"/>
              </w:numPr>
              <w:spacing w:line="276" w:lineRule="auto"/>
              <w:rPr>
                <w:rFonts w:ascii="Arial" w:hAnsi="Arial" w:cs="Arial"/>
                <w:b/>
                <w:bCs/>
                <w:sz w:val="20"/>
                <w:szCs w:val="20"/>
              </w:rPr>
            </w:pPr>
            <w:r w:rsidRPr="004C38A6">
              <w:rPr>
                <w:rFonts w:ascii="Arial" w:hAnsi="Arial" w:cs="Arial"/>
                <w:sz w:val="20"/>
                <w:szCs w:val="20"/>
              </w:rPr>
              <w:t xml:space="preserve">The lead GP must be familiar with the relevant legislation (see </w:t>
            </w:r>
            <w:hyperlink r:id="rId23" w:history="1">
              <w:r w:rsidRPr="004C38A6">
                <w:rPr>
                  <w:rStyle w:val="Hyperlink"/>
                  <w:rFonts w:ascii="Arial" w:hAnsi="Arial" w:cs="Arial"/>
                  <w:sz w:val="20"/>
                  <w:szCs w:val="20"/>
                </w:rPr>
                <w:t>Chief Pharmaceutical Officer’s</w:t>
              </w:r>
            </w:hyperlink>
            <w:r w:rsidRPr="004C38A6">
              <w:rPr>
                <w:rFonts w:ascii="Arial" w:hAnsi="Arial" w:cs="Arial"/>
                <w:sz w:val="20"/>
                <w:szCs w:val="20"/>
              </w:rPr>
              <w:t xml:space="preserve"> letter) and be sure at all those involved in storing, handling, preparing and administering the vaccine are competent to do so.</w:t>
            </w:r>
          </w:p>
        </w:tc>
      </w:tr>
      <w:tr w:rsidR="00AF53B6" w:rsidRPr="004C38A6" w14:paraId="11E16CC6" w14:textId="77777777" w:rsidTr="004C38A6">
        <w:trPr>
          <w:trHeight w:val="397"/>
        </w:trPr>
        <w:tc>
          <w:tcPr>
            <w:tcW w:w="939" w:type="dxa"/>
          </w:tcPr>
          <w:p w14:paraId="7E1A46FB" w14:textId="77777777" w:rsidR="00AF53B6" w:rsidRPr="004C38A6" w:rsidRDefault="00AF53B6" w:rsidP="004C38A6">
            <w:pPr>
              <w:spacing w:line="276" w:lineRule="auto"/>
              <w:rPr>
                <w:rFonts w:ascii="Arial" w:hAnsi="Arial" w:cs="Arial"/>
                <w:sz w:val="20"/>
                <w:szCs w:val="20"/>
              </w:rPr>
            </w:pPr>
          </w:p>
        </w:tc>
        <w:tc>
          <w:tcPr>
            <w:tcW w:w="621" w:type="dxa"/>
          </w:tcPr>
          <w:p w14:paraId="51220F35" w14:textId="118CCF4D" w:rsidR="00AF53B6" w:rsidRPr="004C38A6" w:rsidRDefault="00AF53B6" w:rsidP="004C38A6">
            <w:pPr>
              <w:spacing w:line="276" w:lineRule="auto"/>
              <w:rPr>
                <w:rFonts w:ascii="Arial" w:hAnsi="Arial" w:cs="Arial"/>
                <w:sz w:val="20"/>
                <w:szCs w:val="20"/>
              </w:rPr>
            </w:pPr>
            <w:r w:rsidRPr="004C38A6">
              <w:rPr>
                <w:rFonts w:ascii="Arial" w:hAnsi="Arial" w:cs="Arial"/>
                <w:sz w:val="20"/>
                <w:szCs w:val="20"/>
              </w:rPr>
              <w:t>41</w:t>
            </w:r>
          </w:p>
        </w:tc>
        <w:tc>
          <w:tcPr>
            <w:tcW w:w="8558" w:type="dxa"/>
          </w:tcPr>
          <w:p w14:paraId="4F27A786" w14:textId="490E61A4" w:rsidR="00C02884" w:rsidRPr="004C38A6" w:rsidRDefault="00AF53B6" w:rsidP="00C02884">
            <w:pPr>
              <w:spacing w:line="276" w:lineRule="auto"/>
              <w:rPr>
                <w:rFonts w:ascii="Arial" w:hAnsi="Arial" w:cs="Arial"/>
                <w:b/>
                <w:bCs/>
                <w:sz w:val="20"/>
                <w:szCs w:val="20"/>
              </w:rPr>
            </w:pPr>
            <w:r w:rsidRPr="004C38A6">
              <w:rPr>
                <w:rFonts w:ascii="Arial" w:hAnsi="Arial" w:cs="Arial"/>
                <w:b/>
                <w:bCs/>
                <w:sz w:val="20"/>
                <w:szCs w:val="20"/>
              </w:rPr>
              <w:t>Appendix D</w:t>
            </w:r>
            <w:r w:rsidR="00C02884">
              <w:rPr>
                <w:rFonts w:ascii="Arial" w:hAnsi="Arial" w:cs="Arial"/>
                <w:b/>
                <w:bCs/>
                <w:sz w:val="20"/>
                <w:szCs w:val="20"/>
              </w:rPr>
              <w:t xml:space="preserve"> - </w:t>
            </w:r>
            <w:r w:rsidR="00C02884" w:rsidRPr="004C38A6">
              <w:rPr>
                <w:rFonts w:ascii="Arial" w:hAnsi="Arial" w:cs="Arial"/>
                <w:b/>
                <w:bCs/>
                <w:sz w:val="20"/>
                <w:szCs w:val="20"/>
              </w:rPr>
              <w:t>Vaccine provision for care homes</w:t>
            </w:r>
          </w:p>
          <w:p w14:paraId="132343B6" w14:textId="38C0846F" w:rsidR="00AF53B6" w:rsidRPr="004C38A6" w:rsidRDefault="00AF53B6" w:rsidP="004C38A6">
            <w:pPr>
              <w:spacing w:line="276" w:lineRule="auto"/>
              <w:rPr>
                <w:rFonts w:ascii="Arial" w:hAnsi="Arial" w:cs="Arial"/>
                <w:b/>
                <w:bCs/>
                <w:sz w:val="20"/>
                <w:szCs w:val="20"/>
              </w:rPr>
            </w:pPr>
            <w:r w:rsidRPr="004C38A6">
              <w:rPr>
                <w:rFonts w:ascii="Arial" w:hAnsi="Arial" w:cs="Arial"/>
                <w:b/>
                <w:bCs/>
                <w:sz w:val="20"/>
                <w:szCs w:val="20"/>
              </w:rPr>
              <w:t>Vaccine cold chain properties</w:t>
            </w:r>
          </w:p>
          <w:p w14:paraId="4AE946DA" w14:textId="77777777" w:rsidR="00AF53B6" w:rsidRPr="004C38A6" w:rsidRDefault="00AF53B6" w:rsidP="004C38A6">
            <w:pPr>
              <w:pStyle w:val="Default"/>
              <w:spacing w:line="276" w:lineRule="auto"/>
              <w:rPr>
                <w:sz w:val="20"/>
                <w:szCs w:val="20"/>
              </w:rPr>
            </w:pPr>
            <w:r w:rsidRPr="004C38A6">
              <w:rPr>
                <w:sz w:val="20"/>
                <w:szCs w:val="20"/>
              </w:rPr>
              <w:t xml:space="preserve">Oxford/AstraZeneca </w:t>
            </w:r>
          </w:p>
          <w:p w14:paraId="724FF9B3" w14:textId="2872DFC8" w:rsidR="00AF53B6" w:rsidRPr="004C38A6" w:rsidRDefault="00AF53B6" w:rsidP="004C38A6">
            <w:pPr>
              <w:pStyle w:val="Default"/>
              <w:numPr>
                <w:ilvl w:val="0"/>
                <w:numId w:val="17"/>
              </w:numPr>
              <w:spacing w:line="276" w:lineRule="auto"/>
              <w:rPr>
                <w:sz w:val="20"/>
                <w:szCs w:val="20"/>
              </w:rPr>
            </w:pPr>
            <w:r w:rsidRPr="004C38A6">
              <w:rPr>
                <w:sz w:val="20"/>
                <w:szCs w:val="20"/>
              </w:rPr>
              <w:t xml:space="preserve">Distribution as a part of deployment can be controlled at 2-8°C throughout its shelf life of 6 months. </w:t>
            </w:r>
          </w:p>
          <w:p w14:paraId="012B466F" w14:textId="77777777" w:rsidR="00AF53B6" w:rsidRPr="004C38A6" w:rsidRDefault="00AF53B6" w:rsidP="004C38A6">
            <w:pPr>
              <w:pStyle w:val="Default"/>
              <w:numPr>
                <w:ilvl w:val="0"/>
                <w:numId w:val="17"/>
              </w:numPr>
              <w:spacing w:line="276" w:lineRule="auto"/>
              <w:rPr>
                <w:sz w:val="20"/>
                <w:szCs w:val="20"/>
              </w:rPr>
            </w:pPr>
            <w:r w:rsidRPr="004C38A6">
              <w:rPr>
                <w:sz w:val="20"/>
                <w:szCs w:val="20"/>
              </w:rPr>
              <w:t xml:space="preserve">The vaccine must not be allowed to freeze and be protected from light. </w:t>
            </w:r>
          </w:p>
          <w:p w14:paraId="6C6D6E5B" w14:textId="77777777" w:rsidR="00C02884" w:rsidRDefault="00AF53B6" w:rsidP="00C02884">
            <w:pPr>
              <w:pStyle w:val="Default"/>
              <w:numPr>
                <w:ilvl w:val="0"/>
                <w:numId w:val="17"/>
              </w:numPr>
              <w:spacing w:line="276" w:lineRule="auto"/>
              <w:rPr>
                <w:sz w:val="20"/>
                <w:szCs w:val="20"/>
              </w:rPr>
            </w:pPr>
            <w:r w:rsidRPr="004C38A6">
              <w:rPr>
                <w:sz w:val="20"/>
                <w:szCs w:val="20"/>
              </w:rPr>
              <w:t>Further packing down (splitting of packs) of lots to aid deployment can occur at 2-8°C within its shelf life and at ‘room temperature’ &lt;25°C within 2 hours.</w:t>
            </w:r>
          </w:p>
          <w:p w14:paraId="22AE4031" w14:textId="3D2F8DCC" w:rsidR="00C02884" w:rsidRPr="00C02884" w:rsidRDefault="00C02884" w:rsidP="00C02884">
            <w:pPr>
              <w:pStyle w:val="Default"/>
              <w:numPr>
                <w:ilvl w:val="0"/>
                <w:numId w:val="17"/>
              </w:numPr>
              <w:spacing w:line="276" w:lineRule="auto"/>
              <w:rPr>
                <w:sz w:val="20"/>
                <w:szCs w:val="20"/>
              </w:rPr>
            </w:pPr>
            <w:r w:rsidRPr="004C38A6">
              <w:rPr>
                <w:sz w:val="20"/>
                <w:szCs w:val="20"/>
              </w:rPr>
              <w:t>Once a vial is opened use as soon as practically possible and within 6 hours. The vaccine maybe stored between 2°C and 25°C during the in-use period.</w:t>
            </w:r>
          </w:p>
        </w:tc>
      </w:tr>
      <w:tr w:rsidR="00AF53B6" w:rsidRPr="004C38A6" w14:paraId="6A8533DB" w14:textId="77777777" w:rsidTr="004C38A6">
        <w:trPr>
          <w:trHeight w:val="397"/>
        </w:trPr>
        <w:tc>
          <w:tcPr>
            <w:tcW w:w="939" w:type="dxa"/>
          </w:tcPr>
          <w:p w14:paraId="25C4629B" w14:textId="3DB3F4C2" w:rsidR="00AF53B6" w:rsidRPr="004C38A6" w:rsidRDefault="00AF53B6" w:rsidP="004C38A6">
            <w:pPr>
              <w:spacing w:line="276" w:lineRule="auto"/>
              <w:rPr>
                <w:rFonts w:ascii="Arial" w:hAnsi="Arial" w:cs="Arial"/>
                <w:sz w:val="20"/>
                <w:szCs w:val="20"/>
              </w:rPr>
            </w:pPr>
            <w:r w:rsidRPr="004C38A6">
              <w:rPr>
                <w:rFonts w:ascii="Arial" w:hAnsi="Arial" w:cs="Arial"/>
                <w:sz w:val="20"/>
                <w:szCs w:val="20"/>
              </w:rPr>
              <w:t>5</w:t>
            </w:r>
          </w:p>
        </w:tc>
        <w:tc>
          <w:tcPr>
            <w:tcW w:w="621" w:type="dxa"/>
          </w:tcPr>
          <w:p w14:paraId="7A079CE9" w14:textId="6BB91590" w:rsidR="00AF53B6" w:rsidRPr="004C38A6" w:rsidRDefault="00AF53B6" w:rsidP="004C38A6">
            <w:pPr>
              <w:spacing w:line="276" w:lineRule="auto"/>
              <w:rPr>
                <w:rFonts w:ascii="Arial" w:hAnsi="Arial" w:cs="Arial"/>
                <w:sz w:val="20"/>
                <w:szCs w:val="20"/>
              </w:rPr>
            </w:pPr>
            <w:r w:rsidRPr="004C38A6">
              <w:rPr>
                <w:rFonts w:ascii="Arial" w:hAnsi="Arial" w:cs="Arial"/>
                <w:sz w:val="20"/>
                <w:szCs w:val="20"/>
              </w:rPr>
              <w:t>44</w:t>
            </w:r>
          </w:p>
        </w:tc>
        <w:tc>
          <w:tcPr>
            <w:tcW w:w="8558" w:type="dxa"/>
          </w:tcPr>
          <w:p w14:paraId="7E32F28F" w14:textId="530BAD72" w:rsidR="00AF53B6" w:rsidRPr="00C02884" w:rsidRDefault="00AF53B6" w:rsidP="004C38A6">
            <w:pPr>
              <w:spacing w:line="276" w:lineRule="auto"/>
              <w:rPr>
                <w:rFonts w:ascii="Arial" w:hAnsi="Arial" w:cs="Arial"/>
                <w:b/>
                <w:bCs/>
                <w:sz w:val="20"/>
                <w:szCs w:val="20"/>
                <w:highlight w:val="yellow"/>
              </w:rPr>
            </w:pPr>
            <w:r w:rsidRPr="00C02884">
              <w:rPr>
                <w:rFonts w:ascii="Arial" w:hAnsi="Arial" w:cs="Arial"/>
                <w:b/>
                <w:bCs/>
                <w:sz w:val="20"/>
                <w:szCs w:val="20"/>
                <w:highlight w:val="yellow"/>
              </w:rPr>
              <w:t xml:space="preserve">Appendix E </w:t>
            </w:r>
            <w:r w:rsidR="004C38A6" w:rsidRPr="00C02884">
              <w:rPr>
                <w:rFonts w:ascii="Arial" w:hAnsi="Arial" w:cs="Arial"/>
                <w:b/>
                <w:bCs/>
                <w:sz w:val="20"/>
                <w:szCs w:val="20"/>
                <w:highlight w:val="yellow"/>
              </w:rPr>
              <w:t>Newly added appendix</w:t>
            </w:r>
            <w:r w:rsidRPr="00C02884">
              <w:rPr>
                <w:rFonts w:ascii="Arial" w:hAnsi="Arial" w:cs="Arial"/>
                <w:b/>
                <w:bCs/>
                <w:sz w:val="20"/>
                <w:szCs w:val="20"/>
                <w:highlight w:val="yellow"/>
              </w:rPr>
              <w:t>– Housebound Residents</w:t>
            </w:r>
          </w:p>
          <w:p w14:paraId="0A2C57B9" w14:textId="268D262C" w:rsidR="00AF53B6" w:rsidRPr="004C38A6" w:rsidRDefault="004C38A6" w:rsidP="004C38A6">
            <w:pPr>
              <w:spacing w:line="276" w:lineRule="auto"/>
              <w:rPr>
                <w:rFonts w:ascii="Arial" w:hAnsi="Arial" w:cs="Arial"/>
                <w:b/>
                <w:bCs/>
                <w:sz w:val="20"/>
                <w:szCs w:val="20"/>
              </w:rPr>
            </w:pPr>
            <w:r w:rsidRPr="00C02884">
              <w:rPr>
                <w:rFonts w:ascii="Arial" w:hAnsi="Arial" w:cs="Arial"/>
                <w:b/>
                <w:bCs/>
                <w:sz w:val="20"/>
                <w:szCs w:val="20"/>
                <w:highlight w:val="yellow"/>
              </w:rPr>
              <w:t>(Copied in entirety)</w:t>
            </w:r>
          </w:p>
          <w:p w14:paraId="39624EB1" w14:textId="6E092827" w:rsidR="00AF53B6" w:rsidRPr="004C38A6" w:rsidRDefault="00AF53B6" w:rsidP="004C38A6">
            <w:pPr>
              <w:pStyle w:val="Default"/>
              <w:spacing w:line="276" w:lineRule="auto"/>
              <w:rPr>
                <w:sz w:val="20"/>
                <w:szCs w:val="20"/>
              </w:rPr>
            </w:pPr>
            <w:r w:rsidRPr="004C38A6">
              <w:rPr>
                <w:sz w:val="20"/>
                <w:szCs w:val="20"/>
              </w:rPr>
              <w:t xml:space="preserve">There are some patients living in the community who usually receive treatments at home and are generally classed as housebound. For this group consideration needs to be given to the best approach for vaccination. </w:t>
            </w:r>
          </w:p>
          <w:p w14:paraId="0B719D58" w14:textId="77777777" w:rsidR="00AF53B6" w:rsidRPr="004C38A6" w:rsidRDefault="00AF53B6" w:rsidP="004C38A6">
            <w:pPr>
              <w:pStyle w:val="Default"/>
              <w:numPr>
                <w:ilvl w:val="0"/>
                <w:numId w:val="18"/>
              </w:numPr>
              <w:spacing w:line="276" w:lineRule="auto"/>
              <w:rPr>
                <w:sz w:val="20"/>
                <w:szCs w:val="20"/>
              </w:rPr>
            </w:pPr>
            <w:r w:rsidRPr="004C38A6">
              <w:rPr>
                <w:sz w:val="20"/>
                <w:szCs w:val="20"/>
              </w:rPr>
              <w:t xml:space="preserve">General practice teams to determine approach, alongside the community teams, for patient that are housebound based on their knowledge of the patient and circumstances. Some of these patients may be able to attend PCN designated sites with assistance and discussion should be held with the family and /or carer to facilitate this process. </w:t>
            </w:r>
          </w:p>
          <w:p w14:paraId="71B2372F" w14:textId="32970471" w:rsidR="00AF53B6" w:rsidRPr="004C38A6" w:rsidRDefault="00AF53B6" w:rsidP="004C38A6">
            <w:pPr>
              <w:pStyle w:val="Default"/>
              <w:numPr>
                <w:ilvl w:val="0"/>
                <w:numId w:val="18"/>
              </w:numPr>
              <w:spacing w:line="276" w:lineRule="auto"/>
              <w:rPr>
                <w:sz w:val="20"/>
                <w:szCs w:val="20"/>
              </w:rPr>
            </w:pPr>
            <w:r w:rsidRPr="004C38A6">
              <w:rPr>
                <w:sz w:val="20"/>
                <w:szCs w:val="20"/>
              </w:rPr>
              <w:t xml:space="preserve">There will be a cohort of patient who are completely housebound and unable to travel to PCN designated site for immunisation even with assistance. For these patients the Oxford/AstraZeneca vaccine may be most suitable for use. </w:t>
            </w:r>
          </w:p>
          <w:p w14:paraId="46182467" w14:textId="77777777" w:rsidR="004C38A6" w:rsidRPr="004C38A6" w:rsidRDefault="00AF53B6" w:rsidP="004C38A6">
            <w:pPr>
              <w:pStyle w:val="Default"/>
              <w:numPr>
                <w:ilvl w:val="0"/>
                <w:numId w:val="18"/>
              </w:numPr>
              <w:spacing w:line="276" w:lineRule="auto"/>
              <w:rPr>
                <w:sz w:val="20"/>
                <w:szCs w:val="20"/>
              </w:rPr>
            </w:pPr>
            <w:r w:rsidRPr="004C38A6">
              <w:rPr>
                <w:sz w:val="20"/>
                <w:szCs w:val="20"/>
              </w:rPr>
              <w:t xml:space="preserve">The pre vaccination procedure including checking patient for eligibility, contraindications precautions, booking date/time, consent and best interest decision who lack capacity follows the same principles as detailed in Section 4. </w:t>
            </w:r>
          </w:p>
          <w:p w14:paraId="5ACA9EA2" w14:textId="273967D3" w:rsidR="00AF53B6" w:rsidRPr="004C38A6" w:rsidRDefault="00AF53B6" w:rsidP="004C38A6">
            <w:pPr>
              <w:pStyle w:val="Default"/>
              <w:numPr>
                <w:ilvl w:val="0"/>
                <w:numId w:val="18"/>
              </w:numPr>
              <w:spacing w:line="276" w:lineRule="auto"/>
              <w:rPr>
                <w:sz w:val="20"/>
                <w:szCs w:val="20"/>
              </w:rPr>
            </w:pPr>
            <w:r w:rsidRPr="004C38A6">
              <w:rPr>
                <w:sz w:val="20"/>
                <w:szCs w:val="20"/>
              </w:rPr>
              <w:t xml:space="preserve">Due consideration should be given to those who live alone and those who lack mental capacity as this situation may require further preparation. </w:t>
            </w:r>
          </w:p>
          <w:p w14:paraId="6050D7E0" w14:textId="77777777" w:rsidR="004C38A6" w:rsidRPr="004C38A6" w:rsidRDefault="004C38A6" w:rsidP="004C38A6">
            <w:pPr>
              <w:pStyle w:val="Default"/>
              <w:spacing w:line="276" w:lineRule="auto"/>
              <w:ind w:left="720"/>
              <w:rPr>
                <w:sz w:val="20"/>
                <w:szCs w:val="20"/>
              </w:rPr>
            </w:pPr>
          </w:p>
          <w:p w14:paraId="2A34A4D0" w14:textId="77777777" w:rsidR="00AF53B6" w:rsidRPr="004C38A6" w:rsidRDefault="00AF53B6" w:rsidP="004C38A6">
            <w:pPr>
              <w:pStyle w:val="Default"/>
              <w:spacing w:line="276" w:lineRule="auto"/>
              <w:rPr>
                <w:sz w:val="20"/>
                <w:szCs w:val="20"/>
              </w:rPr>
            </w:pPr>
            <w:r w:rsidRPr="004C38A6">
              <w:rPr>
                <w:b/>
                <w:bCs/>
                <w:sz w:val="20"/>
                <w:szCs w:val="20"/>
              </w:rPr>
              <w:t xml:space="preserve">Workforce considerations </w:t>
            </w:r>
          </w:p>
          <w:p w14:paraId="40A391FC" w14:textId="77777777" w:rsidR="00AF53B6" w:rsidRPr="004C38A6" w:rsidRDefault="00AF53B6" w:rsidP="004C38A6">
            <w:pPr>
              <w:pStyle w:val="Default"/>
              <w:spacing w:line="276" w:lineRule="auto"/>
              <w:rPr>
                <w:sz w:val="20"/>
                <w:szCs w:val="20"/>
              </w:rPr>
            </w:pPr>
            <w:r w:rsidRPr="004C38A6">
              <w:rPr>
                <w:sz w:val="20"/>
                <w:szCs w:val="20"/>
              </w:rPr>
              <w:t xml:space="preserve">The PCN should consider the best model to deliver vaccination to </w:t>
            </w:r>
          </w:p>
          <w:p w14:paraId="19AB13C1" w14:textId="77777777" w:rsidR="004C38A6" w:rsidRPr="004C38A6" w:rsidRDefault="00AF53B6" w:rsidP="004C38A6">
            <w:pPr>
              <w:pStyle w:val="Default"/>
              <w:spacing w:line="276" w:lineRule="auto"/>
              <w:rPr>
                <w:sz w:val="20"/>
                <w:szCs w:val="20"/>
              </w:rPr>
            </w:pPr>
            <w:r w:rsidRPr="004C38A6">
              <w:rPr>
                <w:sz w:val="20"/>
                <w:szCs w:val="20"/>
              </w:rPr>
              <w:t>housebound given a collaborative approach with the community teams and available skill mix. We recommend that the visiting team includes 2 people (1 lead vaccinator and 1 person to support).</w:t>
            </w:r>
          </w:p>
          <w:p w14:paraId="5E2442E4" w14:textId="18769E7E" w:rsidR="00AF53B6" w:rsidRPr="004C38A6" w:rsidRDefault="00AF53B6" w:rsidP="004C38A6">
            <w:pPr>
              <w:pStyle w:val="Default"/>
              <w:spacing w:line="276" w:lineRule="auto"/>
              <w:rPr>
                <w:sz w:val="20"/>
                <w:szCs w:val="20"/>
              </w:rPr>
            </w:pPr>
            <w:r w:rsidRPr="004C38A6">
              <w:rPr>
                <w:sz w:val="20"/>
                <w:szCs w:val="20"/>
              </w:rPr>
              <w:t xml:space="preserve"> </w:t>
            </w:r>
          </w:p>
          <w:p w14:paraId="44EEBD9F" w14:textId="37089628" w:rsidR="00AF53B6" w:rsidRPr="004C38A6" w:rsidRDefault="00AF53B6" w:rsidP="004C38A6">
            <w:pPr>
              <w:pStyle w:val="Default"/>
              <w:spacing w:line="276" w:lineRule="auto"/>
              <w:rPr>
                <w:sz w:val="20"/>
                <w:szCs w:val="20"/>
              </w:rPr>
            </w:pPr>
            <w:r w:rsidRPr="004C38A6">
              <w:rPr>
                <w:b/>
                <w:bCs/>
                <w:sz w:val="20"/>
                <w:szCs w:val="20"/>
              </w:rPr>
              <w:t xml:space="preserve">On the day of the vaccination </w:t>
            </w:r>
            <w:r w:rsidRPr="004C38A6">
              <w:rPr>
                <w:sz w:val="20"/>
                <w:szCs w:val="20"/>
              </w:rPr>
              <w:t xml:space="preserve">appointment practices should call ahead to check that the person is well and to remind them of their appointment, check there will be someone to let the HCP in and if there is someone else at home with the person ask if it would be possible to open windows to provide ventilation shortly before the </w:t>
            </w:r>
          </w:p>
          <w:p w14:paraId="15ED6404" w14:textId="5F75479C" w:rsidR="00AF53B6" w:rsidRPr="004C38A6" w:rsidRDefault="00AF53B6" w:rsidP="004C38A6">
            <w:pPr>
              <w:pStyle w:val="Default"/>
              <w:spacing w:line="276" w:lineRule="auto"/>
              <w:rPr>
                <w:sz w:val="20"/>
                <w:szCs w:val="20"/>
              </w:rPr>
            </w:pPr>
            <w:r w:rsidRPr="004C38A6">
              <w:rPr>
                <w:sz w:val="20"/>
                <w:szCs w:val="20"/>
              </w:rPr>
              <w:t xml:space="preserve">arrival time. </w:t>
            </w:r>
          </w:p>
          <w:p w14:paraId="314905A9" w14:textId="77777777" w:rsidR="004C38A6" w:rsidRPr="004C38A6" w:rsidRDefault="004C38A6" w:rsidP="004C38A6">
            <w:pPr>
              <w:pStyle w:val="Default"/>
              <w:spacing w:line="276" w:lineRule="auto"/>
              <w:rPr>
                <w:sz w:val="20"/>
                <w:szCs w:val="20"/>
              </w:rPr>
            </w:pPr>
          </w:p>
          <w:p w14:paraId="4F22AC78" w14:textId="77777777" w:rsidR="00AF53B6" w:rsidRPr="004C38A6" w:rsidRDefault="00AF53B6" w:rsidP="004C38A6">
            <w:pPr>
              <w:pStyle w:val="Default"/>
              <w:spacing w:line="276" w:lineRule="auto"/>
              <w:rPr>
                <w:sz w:val="20"/>
                <w:szCs w:val="20"/>
              </w:rPr>
            </w:pPr>
            <w:r w:rsidRPr="004C38A6">
              <w:rPr>
                <w:b/>
                <w:bCs/>
                <w:sz w:val="20"/>
                <w:szCs w:val="20"/>
              </w:rPr>
              <w:t xml:space="preserve">Supply inventory list </w:t>
            </w:r>
          </w:p>
          <w:p w14:paraId="6EA07AB2" w14:textId="69D25DA7" w:rsidR="00AF53B6" w:rsidRPr="004C38A6" w:rsidRDefault="00AF53B6" w:rsidP="004C38A6">
            <w:pPr>
              <w:spacing w:line="276" w:lineRule="auto"/>
              <w:rPr>
                <w:rFonts w:ascii="Arial" w:hAnsi="Arial" w:cs="Arial"/>
                <w:sz w:val="20"/>
                <w:szCs w:val="20"/>
              </w:rPr>
            </w:pPr>
            <w:r w:rsidRPr="004C38A6">
              <w:rPr>
                <w:rFonts w:ascii="Arial" w:hAnsi="Arial" w:cs="Arial"/>
                <w:sz w:val="20"/>
                <w:szCs w:val="20"/>
              </w:rPr>
              <w:lastRenderedPageBreak/>
              <w:t>Before setting out for the appointment, HCPs should ensure they have all the equipment in the Supply Inventory List.</w:t>
            </w:r>
          </w:p>
          <w:p w14:paraId="465FD1F8" w14:textId="77777777" w:rsidR="004C38A6" w:rsidRPr="004C38A6" w:rsidRDefault="004C38A6" w:rsidP="004C38A6">
            <w:pPr>
              <w:spacing w:line="276" w:lineRule="auto"/>
              <w:rPr>
                <w:rFonts w:ascii="Arial" w:hAnsi="Arial" w:cs="Arial"/>
                <w:sz w:val="20"/>
                <w:szCs w:val="20"/>
              </w:rPr>
            </w:pPr>
          </w:p>
          <w:p w14:paraId="6773C3D8" w14:textId="77777777" w:rsidR="004C38A6" w:rsidRPr="004C38A6" w:rsidRDefault="004C38A6" w:rsidP="004C38A6">
            <w:pPr>
              <w:pStyle w:val="Default"/>
              <w:spacing w:line="276" w:lineRule="auto"/>
              <w:rPr>
                <w:sz w:val="20"/>
                <w:szCs w:val="20"/>
              </w:rPr>
            </w:pPr>
            <w:r w:rsidRPr="004C38A6">
              <w:rPr>
                <w:b/>
                <w:bCs/>
                <w:sz w:val="20"/>
                <w:szCs w:val="20"/>
              </w:rPr>
              <w:t xml:space="preserve">Arrival at the address </w:t>
            </w:r>
          </w:p>
          <w:p w14:paraId="5F2D29E8" w14:textId="6506EC0F" w:rsidR="004C38A6" w:rsidRPr="004C38A6" w:rsidRDefault="004C38A6" w:rsidP="004C38A6">
            <w:pPr>
              <w:pStyle w:val="Default"/>
              <w:spacing w:line="276" w:lineRule="auto"/>
              <w:rPr>
                <w:sz w:val="20"/>
                <w:szCs w:val="20"/>
              </w:rPr>
            </w:pPr>
            <w:r w:rsidRPr="004C38A6">
              <w:rPr>
                <w:sz w:val="20"/>
                <w:szCs w:val="20"/>
              </w:rPr>
              <w:t xml:space="preserve">HCP should put on appropriate PPE before entering the person’s home. If windows not already open, ask carer/family member if possible, to do this. As far as possible try to maintain a two-metre distance from people other than the person being vaccinated. </w:t>
            </w:r>
          </w:p>
          <w:p w14:paraId="7760CA02" w14:textId="77777777" w:rsidR="004C38A6" w:rsidRPr="004C38A6" w:rsidRDefault="004C38A6" w:rsidP="004C38A6">
            <w:pPr>
              <w:pStyle w:val="Default"/>
              <w:spacing w:line="276" w:lineRule="auto"/>
              <w:rPr>
                <w:sz w:val="20"/>
                <w:szCs w:val="20"/>
              </w:rPr>
            </w:pPr>
          </w:p>
          <w:p w14:paraId="62AD8D75" w14:textId="77777777" w:rsidR="004C38A6" w:rsidRPr="004C38A6" w:rsidRDefault="004C38A6" w:rsidP="004C38A6">
            <w:pPr>
              <w:pStyle w:val="Default"/>
              <w:spacing w:line="276" w:lineRule="auto"/>
              <w:rPr>
                <w:sz w:val="20"/>
                <w:szCs w:val="20"/>
              </w:rPr>
            </w:pPr>
            <w:r w:rsidRPr="004C38A6">
              <w:rPr>
                <w:b/>
                <w:bCs/>
                <w:sz w:val="20"/>
                <w:szCs w:val="20"/>
              </w:rPr>
              <w:t xml:space="preserve">Clinical review of the patient and obtaining written consent (if feasible) </w:t>
            </w:r>
          </w:p>
          <w:p w14:paraId="3718BC16" w14:textId="359848A2" w:rsidR="004C38A6" w:rsidRPr="004C38A6" w:rsidRDefault="004C38A6" w:rsidP="004C38A6">
            <w:pPr>
              <w:pStyle w:val="Default"/>
              <w:spacing w:line="276" w:lineRule="auto"/>
              <w:rPr>
                <w:sz w:val="20"/>
                <w:szCs w:val="20"/>
              </w:rPr>
            </w:pPr>
            <w:r w:rsidRPr="004C38A6">
              <w:rPr>
                <w:sz w:val="20"/>
                <w:szCs w:val="20"/>
              </w:rPr>
              <w:t xml:space="preserve">Before administering the vaccination, a clinical review can be undertaken to determine if the patient is fit to receive vaccination. If needed, written consent could also be provided at this time. </w:t>
            </w:r>
          </w:p>
          <w:p w14:paraId="2E274B17" w14:textId="77777777" w:rsidR="004C38A6" w:rsidRPr="004C38A6" w:rsidRDefault="004C38A6" w:rsidP="004C38A6">
            <w:pPr>
              <w:pStyle w:val="Default"/>
              <w:spacing w:line="276" w:lineRule="auto"/>
              <w:rPr>
                <w:sz w:val="20"/>
                <w:szCs w:val="20"/>
              </w:rPr>
            </w:pPr>
          </w:p>
          <w:p w14:paraId="4AF47820" w14:textId="77777777" w:rsidR="004C38A6" w:rsidRPr="004C38A6" w:rsidRDefault="004C38A6" w:rsidP="004C38A6">
            <w:pPr>
              <w:pStyle w:val="Default"/>
              <w:spacing w:line="276" w:lineRule="auto"/>
              <w:rPr>
                <w:sz w:val="20"/>
                <w:szCs w:val="20"/>
              </w:rPr>
            </w:pPr>
            <w:r w:rsidRPr="004C38A6">
              <w:rPr>
                <w:b/>
                <w:bCs/>
                <w:sz w:val="20"/>
                <w:szCs w:val="20"/>
              </w:rPr>
              <w:t xml:space="preserve">Delivery of vaccination </w:t>
            </w:r>
          </w:p>
          <w:p w14:paraId="1FB13F31" w14:textId="77777777" w:rsidR="004C38A6" w:rsidRPr="004C38A6" w:rsidRDefault="004C38A6" w:rsidP="004C38A6">
            <w:pPr>
              <w:pStyle w:val="Default"/>
              <w:numPr>
                <w:ilvl w:val="0"/>
                <w:numId w:val="19"/>
              </w:numPr>
              <w:spacing w:line="276" w:lineRule="auto"/>
              <w:rPr>
                <w:sz w:val="20"/>
                <w:szCs w:val="20"/>
              </w:rPr>
            </w:pPr>
            <w:r w:rsidRPr="004C38A6">
              <w:rPr>
                <w:sz w:val="20"/>
                <w:szCs w:val="20"/>
              </w:rPr>
              <w:t xml:space="preserve">Preparation and administration of Oxford/AstraZeneca vaccine as per guidance in SPS. </w:t>
            </w:r>
          </w:p>
          <w:p w14:paraId="6DD1ECED" w14:textId="34787BD6" w:rsidR="004C38A6" w:rsidRPr="004C38A6" w:rsidRDefault="004C38A6" w:rsidP="004C38A6">
            <w:pPr>
              <w:pStyle w:val="Default"/>
              <w:numPr>
                <w:ilvl w:val="0"/>
                <w:numId w:val="19"/>
              </w:numPr>
              <w:spacing w:line="276" w:lineRule="auto"/>
              <w:rPr>
                <w:sz w:val="20"/>
                <w:szCs w:val="20"/>
              </w:rPr>
            </w:pPr>
            <w:r w:rsidRPr="004C38A6">
              <w:rPr>
                <w:sz w:val="20"/>
                <w:szCs w:val="20"/>
              </w:rPr>
              <w:t xml:space="preserve">A record of the vaccination should be made in the patient’s medical records and on Pinnacle. </w:t>
            </w:r>
          </w:p>
          <w:p w14:paraId="0D33895A" w14:textId="77777777" w:rsidR="004C38A6" w:rsidRPr="004C38A6" w:rsidRDefault="004C38A6" w:rsidP="004C38A6">
            <w:pPr>
              <w:pStyle w:val="Default"/>
              <w:spacing w:line="276" w:lineRule="auto"/>
              <w:rPr>
                <w:sz w:val="20"/>
                <w:szCs w:val="20"/>
              </w:rPr>
            </w:pPr>
          </w:p>
          <w:p w14:paraId="297B2DCB" w14:textId="77777777" w:rsidR="004C38A6" w:rsidRPr="004C38A6" w:rsidRDefault="004C38A6" w:rsidP="004C38A6">
            <w:pPr>
              <w:pStyle w:val="Default"/>
              <w:spacing w:line="276" w:lineRule="auto"/>
              <w:rPr>
                <w:sz w:val="20"/>
                <w:szCs w:val="20"/>
              </w:rPr>
            </w:pPr>
            <w:r w:rsidRPr="004C38A6">
              <w:rPr>
                <w:b/>
                <w:bCs/>
                <w:sz w:val="20"/>
                <w:szCs w:val="20"/>
              </w:rPr>
              <w:t xml:space="preserve">Post vaccination observation </w:t>
            </w:r>
          </w:p>
          <w:p w14:paraId="75989B96" w14:textId="77777777" w:rsidR="004C38A6" w:rsidRPr="004C38A6" w:rsidRDefault="004C38A6" w:rsidP="004C38A6">
            <w:pPr>
              <w:pStyle w:val="Default"/>
              <w:numPr>
                <w:ilvl w:val="0"/>
                <w:numId w:val="20"/>
              </w:numPr>
              <w:spacing w:line="276" w:lineRule="auto"/>
              <w:rPr>
                <w:sz w:val="20"/>
                <w:szCs w:val="20"/>
              </w:rPr>
            </w:pPr>
            <w:r w:rsidRPr="004C38A6">
              <w:rPr>
                <w:sz w:val="20"/>
                <w:szCs w:val="20"/>
              </w:rPr>
              <w:t xml:space="preserve">The HCP should remain with the person for 15 minutes after the vaccination has been given and monitor them for any signs of an adverse reaction. </w:t>
            </w:r>
          </w:p>
          <w:p w14:paraId="5CA7432B" w14:textId="0368B4C4" w:rsidR="004C38A6" w:rsidRPr="004C38A6" w:rsidRDefault="004C38A6" w:rsidP="004C38A6">
            <w:pPr>
              <w:pStyle w:val="Default"/>
              <w:numPr>
                <w:ilvl w:val="0"/>
                <w:numId w:val="20"/>
              </w:numPr>
              <w:spacing w:line="276" w:lineRule="auto"/>
              <w:rPr>
                <w:sz w:val="20"/>
                <w:szCs w:val="20"/>
              </w:rPr>
            </w:pPr>
            <w:r w:rsidRPr="004C38A6">
              <w:rPr>
                <w:sz w:val="20"/>
                <w:szCs w:val="20"/>
              </w:rPr>
              <w:t xml:space="preserve">Patients should be given a post vaccination record card with details of their vaccination and informed that they will be contacted about the second dose. </w:t>
            </w:r>
          </w:p>
          <w:p w14:paraId="17C8BC3D" w14:textId="77777777" w:rsidR="004C38A6" w:rsidRPr="004C38A6" w:rsidRDefault="004C38A6" w:rsidP="004C38A6">
            <w:pPr>
              <w:pStyle w:val="Default"/>
              <w:numPr>
                <w:ilvl w:val="0"/>
                <w:numId w:val="20"/>
              </w:numPr>
              <w:spacing w:line="276" w:lineRule="auto"/>
              <w:rPr>
                <w:sz w:val="20"/>
                <w:szCs w:val="20"/>
              </w:rPr>
            </w:pPr>
            <w:r w:rsidRPr="004C38A6">
              <w:rPr>
                <w:sz w:val="20"/>
                <w:szCs w:val="20"/>
              </w:rPr>
              <w:t xml:space="preserve">They or their carer should also be given a leaflet about possible side effects and this could be explained to them/their carer during part of the 15 minutes. </w:t>
            </w:r>
          </w:p>
          <w:p w14:paraId="0AEA2E0E" w14:textId="77777777" w:rsidR="004C38A6" w:rsidRPr="004C38A6" w:rsidRDefault="004C38A6" w:rsidP="004C38A6">
            <w:pPr>
              <w:pStyle w:val="Default"/>
              <w:numPr>
                <w:ilvl w:val="0"/>
                <w:numId w:val="20"/>
              </w:numPr>
              <w:spacing w:line="276" w:lineRule="auto"/>
              <w:rPr>
                <w:sz w:val="20"/>
                <w:szCs w:val="20"/>
              </w:rPr>
            </w:pPr>
            <w:r w:rsidRPr="004C38A6">
              <w:rPr>
                <w:sz w:val="20"/>
                <w:szCs w:val="20"/>
              </w:rPr>
              <w:t xml:space="preserve">Patients and/or their carers should know who to contact if they are concerned about any effects that maybe experienced after the vaccination. In most cases, this is the patient’s own GP. </w:t>
            </w:r>
          </w:p>
          <w:p w14:paraId="111B973A" w14:textId="0E8E2FA6" w:rsidR="00AF53B6" w:rsidRPr="00015D31" w:rsidRDefault="004C38A6" w:rsidP="004C38A6">
            <w:pPr>
              <w:pStyle w:val="ListParagraph"/>
              <w:numPr>
                <w:ilvl w:val="0"/>
                <w:numId w:val="20"/>
              </w:numPr>
              <w:spacing w:line="276" w:lineRule="auto"/>
              <w:rPr>
                <w:rFonts w:ascii="Arial" w:hAnsi="Arial" w:cs="Arial"/>
                <w:b/>
                <w:bCs/>
                <w:sz w:val="20"/>
                <w:szCs w:val="20"/>
              </w:rPr>
            </w:pPr>
            <w:r w:rsidRPr="004C38A6">
              <w:rPr>
                <w:rFonts w:ascii="Arial" w:hAnsi="Arial" w:cs="Arial"/>
                <w:sz w:val="20"/>
                <w:szCs w:val="20"/>
              </w:rPr>
              <w:t>On leaving the patient’s home, PPE should be removed and disposed of in line with Section 3.3 (waste Management) in this SOP.</w:t>
            </w:r>
          </w:p>
        </w:tc>
      </w:tr>
    </w:tbl>
    <w:p w14:paraId="7EEAF1A4" w14:textId="77777777" w:rsidR="00944486" w:rsidRDefault="00383185"/>
    <w:sectPr w:rsidR="00944486" w:rsidSect="00015D3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B0A"/>
    <w:multiLevelType w:val="hybridMultilevel"/>
    <w:tmpl w:val="406006E8"/>
    <w:lvl w:ilvl="0" w:tplc="08090001">
      <w:start w:val="1"/>
      <w:numFmt w:val="bullet"/>
      <w:lvlText w:val=""/>
      <w:lvlJc w:val="left"/>
      <w:pPr>
        <w:ind w:left="720" w:hanging="360"/>
      </w:pPr>
      <w:rPr>
        <w:rFonts w:ascii="Symbol" w:hAnsi="Symbol" w:hint="default"/>
      </w:rPr>
    </w:lvl>
    <w:lvl w:ilvl="1" w:tplc="2DCEA7E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23884"/>
    <w:multiLevelType w:val="hybridMultilevel"/>
    <w:tmpl w:val="040E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90D14"/>
    <w:multiLevelType w:val="hybridMultilevel"/>
    <w:tmpl w:val="91A2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427F1"/>
    <w:multiLevelType w:val="hybridMultilevel"/>
    <w:tmpl w:val="09DC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22EFE"/>
    <w:multiLevelType w:val="hybridMultilevel"/>
    <w:tmpl w:val="0D98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56C80"/>
    <w:multiLevelType w:val="hybridMultilevel"/>
    <w:tmpl w:val="8612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B3843"/>
    <w:multiLevelType w:val="hybridMultilevel"/>
    <w:tmpl w:val="30E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F2BC4"/>
    <w:multiLevelType w:val="hybridMultilevel"/>
    <w:tmpl w:val="8E3E7F18"/>
    <w:lvl w:ilvl="0" w:tplc="08090001">
      <w:start w:val="1"/>
      <w:numFmt w:val="bullet"/>
      <w:lvlText w:val=""/>
      <w:lvlJc w:val="left"/>
      <w:pPr>
        <w:ind w:left="1990" w:hanging="360"/>
      </w:pPr>
      <w:rPr>
        <w:rFonts w:ascii="Symbol" w:hAnsi="Symbol" w:hint="default"/>
      </w:rPr>
    </w:lvl>
    <w:lvl w:ilvl="1" w:tplc="08090003" w:tentative="1">
      <w:start w:val="1"/>
      <w:numFmt w:val="bullet"/>
      <w:lvlText w:val="o"/>
      <w:lvlJc w:val="left"/>
      <w:pPr>
        <w:ind w:left="2710" w:hanging="360"/>
      </w:pPr>
      <w:rPr>
        <w:rFonts w:ascii="Courier New" w:hAnsi="Courier New" w:cs="Courier New" w:hint="default"/>
      </w:rPr>
    </w:lvl>
    <w:lvl w:ilvl="2" w:tplc="08090005" w:tentative="1">
      <w:start w:val="1"/>
      <w:numFmt w:val="bullet"/>
      <w:lvlText w:val=""/>
      <w:lvlJc w:val="left"/>
      <w:pPr>
        <w:ind w:left="3430" w:hanging="360"/>
      </w:pPr>
      <w:rPr>
        <w:rFonts w:ascii="Wingdings" w:hAnsi="Wingdings" w:hint="default"/>
      </w:rPr>
    </w:lvl>
    <w:lvl w:ilvl="3" w:tplc="08090001" w:tentative="1">
      <w:start w:val="1"/>
      <w:numFmt w:val="bullet"/>
      <w:lvlText w:val=""/>
      <w:lvlJc w:val="left"/>
      <w:pPr>
        <w:ind w:left="4150" w:hanging="360"/>
      </w:pPr>
      <w:rPr>
        <w:rFonts w:ascii="Symbol" w:hAnsi="Symbol" w:hint="default"/>
      </w:rPr>
    </w:lvl>
    <w:lvl w:ilvl="4" w:tplc="08090003" w:tentative="1">
      <w:start w:val="1"/>
      <w:numFmt w:val="bullet"/>
      <w:lvlText w:val="o"/>
      <w:lvlJc w:val="left"/>
      <w:pPr>
        <w:ind w:left="4870" w:hanging="360"/>
      </w:pPr>
      <w:rPr>
        <w:rFonts w:ascii="Courier New" w:hAnsi="Courier New" w:cs="Courier New" w:hint="default"/>
      </w:rPr>
    </w:lvl>
    <w:lvl w:ilvl="5" w:tplc="08090005" w:tentative="1">
      <w:start w:val="1"/>
      <w:numFmt w:val="bullet"/>
      <w:lvlText w:val=""/>
      <w:lvlJc w:val="left"/>
      <w:pPr>
        <w:ind w:left="5590" w:hanging="360"/>
      </w:pPr>
      <w:rPr>
        <w:rFonts w:ascii="Wingdings" w:hAnsi="Wingdings" w:hint="default"/>
      </w:rPr>
    </w:lvl>
    <w:lvl w:ilvl="6" w:tplc="08090001" w:tentative="1">
      <w:start w:val="1"/>
      <w:numFmt w:val="bullet"/>
      <w:lvlText w:val=""/>
      <w:lvlJc w:val="left"/>
      <w:pPr>
        <w:ind w:left="6310" w:hanging="360"/>
      </w:pPr>
      <w:rPr>
        <w:rFonts w:ascii="Symbol" w:hAnsi="Symbol" w:hint="default"/>
      </w:rPr>
    </w:lvl>
    <w:lvl w:ilvl="7" w:tplc="08090003" w:tentative="1">
      <w:start w:val="1"/>
      <w:numFmt w:val="bullet"/>
      <w:lvlText w:val="o"/>
      <w:lvlJc w:val="left"/>
      <w:pPr>
        <w:ind w:left="7030" w:hanging="360"/>
      </w:pPr>
      <w:rPr>
        <w:rFonts w:ascii="Courier New" w:hAnsi="Courier New" w:cs="Courier New" w:hint="default"/>
      </w:rPr>
    </w:lvl>
    <w:lvl w:ilvl="8" w:tplc="08090005" w:tentative="1">
      <w:start w:val="1"/>
      <w:numFmt w:val="bullet"/>
      <w:lvlText w:val=""/>
      <w:lvlJc w:val="left"/>
      <w:pPr>
        <w:ind w:left="7750" w:hanging="360"/>
      </w:pPr>
      <w:rPr>
        <w:rFonts w:ascii="Wingdings" w:hAnsi="Wingdings" w:hint="default"/>
      </w:rPr>
    </w:lvl>
  </w:abstractNum>
  <w:abstractNum w:abstractNumId="8">
    <w:nsid w:val="515038E9"/>
    <w:multiLevelType w:val="hybridMultilevel"/>
    <w:tmpl w:val="4EBE4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36253"/>
    <w:multiLevelType w:val="hybridMultilevel"/>
    <w:tmpl w:val="3A8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314B45"/>
    <w:multiLevelType w:val="hybridMultilevel"/>
    <w:tmpl w:val="AC2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B78FB"/>
    <w:multiLevelType w:val="hybridMultilevel"/>
    <w:tmpl w:val="1D00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296D2C"/>
    <w:multiLevelType w:val="hybridMultilevel"/>
    <w:tmpl w:val="FFF88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54A98"/>
    <w:multiLevelType w:val="hybridMultilevel"/>
    <w:tmpl w:val="762C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81853"/>
    <w:multiLevelType w:val="hybridMultilevel"/>
    <w:tmpl w:val="31D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D65155"/>
    <w:multiLevelType w:val="hybridMultilevel"/>
    <w:tmpl w:val="C7A8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5537D9"/>
    <w:multiLevelType w:val="hybridMultilevel"/>
    <w:tmpl w:val="30DC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356628"/>
    <w:multiLevelType w:val="hybridMultilevel"/>
    <w:tmpl w:val="20C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6E1968"/>
    <w:multiLevelType w:val="hybridMultilevel"/>
    <w:tmpl w:val="B102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FB551C"/>
    <w:multiLevelType w:val="multilevel"/>
    <w:tmpl w:val="929A8B24"/>
    <w:lvl w:ilvl="0">
      <w:start w:val="1"/>
      <w:numFmt w:val="decimal"/>
      <w:lvlText w:val="%1."/>
      <w:lvlJc w:val="left"/>
      <w:pPr>
        <w:ind w:left="939" w:hanging="803"/>
        <w:jc w:val="left"/>
      </w:pPr>
      <w:rPr>
        <w:rFonts w:ascii="Arial" w:eastAsia="Arial" w:hAnsi="Arial" w:cs="Arial" w:hint="default"/>
        <w:color w:val="005EB8"/>
        <w:w w:val="100"/>
        <w:sz w:val="72"/>
        <w:szCs w:val="72"/>
        <w:lang w:val="en-GB" w:eastAsia="en-GB" w:bidi="en-GB"/>
      </w:rPr>
    </w:lvl>
    <w:lvl w:ilvl="1">
      <w:start w:val="1"/>
      <w:numFmt w:val="decimal"/>
      <w:lvlText w:val="%1.%2"/>
      <w:lvlJc w:val="left"/>
      <w:pPr>
        <w:ind w:left="738" w:hanging="601"/>
        <w:jc w:val="left"/>
      </w:pPr>
      <w:rPr>
        <w:rFonts w:hint="default"/>
        <w:w w:val="99"/>
        <w:highlight w:val="yellow"/>
        <w:lang w:val="en-GB" w:eastAsia="en-GB" w:bidi="en-GB"/>
      </w:rPr>
    </w:lvl>
    <w:lvl w:ilvl="2">
      <w:start w:val="1"/>
      <w:numFmt w:val="bullet"/>
      <w:lvlText w:val=""/>
      <w:lvlJc w:val="left"/>
      <w:pPr>
        <w:ind w:left="990" w:hanging="601"/>
      </w:pPr>
      <w:rPr>
        <w:rFonts w:ascii="Symbol" w:hAnsi="Symbol" w:hint="default"/>
        <w:color w:val="005EB8"/>
        <w:w w:val="99"/>
        <w:sz w:val="32"/>
        <w:szCs w:val="32"/>
        <w:lang w:val="en-GB" w:eastAsia="en-GB" w:bidi="en-GB"/>
      </w:rPr>
    </w:lvl>
    <w:lvl w:ilvl="3">
      <w:numFmt w:val="bullet"/>
      <w:lvlText w:val="o"/>
      <w:lvlJc w:val="left"/>
      <w:pPr>
        <w:ind w:left="1270" w:hanging="281"/>
      </w:pPr>
      <w:rPr>
        <w:rFonts w:ascii="Courier New" w:eastAsia="Courier New" w:hAnsi="Courier New" w:cs="Courier New" w:hint="default"/>
        <w:color w:val="005EB8"/>
        <w:w w:val="100"/>
        <w:sz w:val="24"/>
        <w:szCs w:val="24"/>
        <w:highlight w:val="yellow"/>
        <w:lang w:val="en-GB" w:eastAsia="en-GB" w:bidi="en-GB"/>
      </w:rPr>
    </w:lvl>
    <w:lvl w:ilvl="4">
      <w:numFmt w:val="bullet"/>
      <w:lvlText w:val="•"/>
      <w:lvlJc w:val="left"/>
      <w:pPr>
        <w:ind w:left="2598" w:hanging="281"/>
      </w:pPr>
      <w:rPr>
        <w:rFonts w:hint="default"/>
        <w:lang w:val="en-GB" w:eastAsia="en-GB" w:bidi="en-GB"/>
      </w:rPr>
    </w:lvl>
    <w:lvl w:ilvl="5">
      <w:numFmt w:val="bullet"/>
      <w:lvlText w:val="•"/>
      <w:lvlJc w:val="left"/>
      <w:pPr>
        <w:ind w:left="3916" w:hanging="281"/>
      </w:pPr>
      <w:rPr>
        <w:rFonts w:hint="default"/>
        <w:lang w:val="en-GB" w:eastAsia="en-GB" w:bidi="en-GB"/>
      </w:rPr>
    </w:lvl>
    <w:lvl w:ilvl="6">
      <w:numFmt w:val="bullet"/>
      <w:lvlText w:val="•"/>
      <w:lvlJc w:val="left"/>
      <w:pPr>
        <w:ind w:left="5234" w:hanging="281"/>
      </w:pPr>
      <w:rPr>
        <w:rFonts w:hint="default"/>
        <w:lang w:val="en-GB" w:eastAsia="en-GB" w:bidi="en-GB"/>
      </w:rPr>
    </w:lvl>
    <w:lvl w:ilvl="7">
      <w:numFmt w:val="bullet"/>
      <w:lvlText w:val="•"/>
      <w:lvlJc w:val="left"/>
      <w:pPr>
        <w:ind w:left="6552" w:hanging="281"/>
      </w:pPr>
      <w:rPr>
        <w:rFonts w:hint="default"/>
        <w:lang w:val="en-GB" w:eastAsia="en-GB" w:bidi="en-GB"/>
      </w:rPr>
    </w:lvl>
    <w:lvl w:ilvl="8">
      <w:numFmt w:val="bullet"/>
      <w:lvlText w:val="•"/>
      <w:lvlJc w:val="left"/>
      <w:pPr>
        <w:ind w:left="7870" w:hanging="281"/>
      </w:pPr>
      <w:rPr>
        <w:rFonts w:hint="default"/>
        <w:lang w:val="en-GB" w:eastAsia="en-GB" w:bidi="en-GB"/>
      </w:rPr>
    </w:lvl>
  </w:abstractNum>
  <w:num w:numId="1">
    <w:abstractNumId w:val="3"/>
  </w:num>
  <w:num w:numId="2">
    <w:abstractNumId w:val="17"/>
  </w:num>
  <w:num w:numId="3">
    <w:abstractNumId w:val="0"/>
  </w:num>
  <w:num w:numId="4">
    <w:abstractNumId w:val="19"/>
  </w:num>
  <w:num w:numId="5">
    <w:abstractNumId w:val="8"/>
  </w:num>
  <w:num w:numId="6">
    <w:abstractNumId w:val="14"/>
  </w:num>
  <w:num w:numId="7">
    <w:abstractNumId w:val="7"/>
  </w:num>
  <w:num w:numId="8">
    <w:abstractNumId w:val="4"/>
  </w:num>
  <w:num w:numId="9">
    <w:abstractNumId w:val="12"/>
  </w:num>
  <w:num w:numId="10">
    <w:abstractNumId w:val="2"/>
  </w:num>
  <w:num w:numId="11">
    <w:abstractNumId w:val="13"/>
  </w:num>
  <w:num w:numId="12">
    <w:abstractNumId w:val="18"/>
  </w:num>
  <w:num w:numId="13">
    <w:abstractNumId w:val="15"/>
  </w:num>
  <w:num w:numId="14">
    <w:abstractNumId w:val="11"/>
  </w:num>
  <w:num w:numId="15">
    <w:abstractNumId w:val="6"/>
  </w:num>
  <w:num w:numId="16">
    <w:abstractNumId w:val="5"/>
  </w:num>
  <w:num w:numId="17">
    <w:abstractNumId w:val="9"/>
  </w:num>
  <w:num w:numId="18">
    <w:abstractNumId w:val="16"/>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93"/>
    <w:rsid w:val="00015D31"/>
    <w:rsid w:val="00173A9A"/>
    <w:rsid w:val="0021056D"/>
    <w:rsid w:val="002130B2"/>
    <w:rsid w:val="002D19D8"/>
    <w:rsid w:val="00383185"/>
    <w:rsid w:val="004A2130"/>
    <w:rsid w:val="004C38A6"/>
    <w:rsid w:val="0060569C"/>
    <w:rsid w:val="00673F06"/>
    <w:rsid w:val="00903139"/>
    <w:rsid w:val="00941611"/>
    <w:rsid w:val="009E5607"/>
    <w:rsid w:val="00A90352"/>
    <w:rsid w:val="00AF53B6"/>
    <w:rsid w:val="00B40993"/>
    <w:rsid w:val="00C02884"/>
    <w:rsid w:val="00C1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993"/>
    <w:rPr>
      <w:color w:val="0563C1" w:themeColor="hyperlink"/>
      <w:u w:val="single"/>
    </w:rPr>
  </w:style>
  <w:style w:type="character" w:customStyle="1" w:styleId="UnresolvedMention">
    <w:name w:val="Unresolved Mention"/>
    <w:basedOn w:val="DefaultParagraphFont"/>
    <w:uiPriority w:val="99"/>
    <w:semiHidden/>
    <w:unhideWhenUsed/>
    <w:rsid w:val="00B40993"/>
    <w:rPr>
      <w:color w:val="605E5C"/>
      <w:shd w:val="clear" w:color="auto" w:fill="E1DFDD"/>
    </w:rPr>
  </w:style>
  <w:style w:type="paragraph" w:styleId="ListParagraph">
    <w:name w:val="List Paragraph"/>
    <w:basedOn w:val="Normal"/>
    <w:uiPriority w:val="34"/>
    <w:qFormat/>
    <w:rsid w:val="00B40993"/>
    <w:pPr>
      <w:ind w:left="720"/>
      <w:contextualSpacing/>
    </w:pPr>
  </w:style>
  <w:style w:type="paragraph" w:customStyle="1" w:styleId="Default">
    <w:name w:val="Default"/>
    <w:rsid w:val="002130B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A90352"/>
    <w:pPr>
      <w:spacing w:after="120"/>
    </w:pPr>
  </w:style>
  <w:style w:type="character" w:customStyle="1" w:styleId="BodyTextChar">
    <w:name w:val="Body Text Char"/>
    <w:basedOn w:val="DefaultParagraphFont"/>
    <w:link w:val="BodyText"/>
    <w:uiPriority w:val="99"/>
    <w:semiHidden/>
    <w:rsid w:val="00A90352"/>
  </w:style>
  <w:style w:type="character" w:styleId="FollowedHyperlink">
    <w:name w:val="FollowedHyperlink"/>
    <w:basedOn w:val="DefaultParagraphFont"/>
    <w:uiPriority w:val="99"/>
    <w:semiHidden/>
    <w:unhideWhenUsed/>
    <w:rsid w:val="003831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993"/>
    <w:rPr>
      <w:color w:val="0563C1" w:themeColor="hyperlink"/>
      <w:u w:val="single"/>
    </w:rPr>
  </w:style>
  <w:style w:type="character" w:customStyle="1" w:styleId="UnresolvedMention">
    <w:name w:val="Unresolved Mention"/>
    <w:basedOn w:val="DefaultParagraphFont"/>
    <w:uiPriority w:val="99"/>
    <w:semiHidden/>
    <w:unhideWhenUsed/>
    <w:rsid w:val="00B40993"/>
    <w:rPr>
      <w:color w:val="605E5C"/>
      <w:shd w:val="clear" w:color="auto" w:fill="E1DFDD"/>
    </w:rPr>
  </w:style>
  <w:style w:type="paragraph" w:styleId="ListParagraph">
    <w:name w:val="List Paragraph"/>
    <w:basedOn w:val="Normal"/>
    <w:uiPriority w:val="34"/>
    <w:qFormat/>
    <w:rsid w:val="00B40993"/>
    <w:pPr>
      <w:ind w:left="720"/>
      <w:contextualSpacing/>
    </w:pPr>
  </w:style>
  <w:style w:type="paragraph" w:customStyle="1" w:styleId="Default">
    <w:name w:val="Default"/>
    <w:rsid w:val="002130B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A90352"/>
    <w:pPr>
      <w:spacing w:after="120"/>
    </w:pPr>
  </w:style>
  <w:style w:type="character" w:customStyle="1" w:styleId="BodyTextChar">
    <w:name w:val="Body Text Char"/>
    <w:basedOn w:val="DefaultParagraphFont"/>
    <w:link w:val="BodyText"/>
    <w:uiPriority w:val="99"/>
    <w:semiHidden/>
    <w:rsid w:val="00A90352"/>
  </w:style>
  <w:style w:type="character" w:styleId="FollowedHyperlink">
    <w:name w:val="FollowedHyperlink"/>
    <w:basedOn w:val="DefaultParagraphFont"/>
    <w:uiPriority w:val="99"/>
    <w:semiHidden/>
    <w:unhideWhenUsed/>
    <w:rsid w:val="00383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ing.rcgp.org.uk/mod/page/view.php?id=11672" TargetMode="External"/><Relationship Id="rId18" Type="http://schemas.openxmlformats.org/officeDocument/2006/relationships/hyperlink" Target="https://www.gov.uk/government/publications/regulatory-approval-of-covid-19-vaccine-astrazeneca" TargetMode="External"/><Relationship Id="rId3" Type="http://schemas.openxmlformats.org/officeDocument/2006/relationships/customXml" Target="../customXml/item3.xml"/><Relationship Id="rId21" Type="http://schemas.openxmlformats.org/officeDocument/2006/relationships/hyperlink" Target="https://www.england.nhs.uk/coronavirus/wp-content/uploads/sites/52/2020/12/C0993-Care-home-vaccination-guidance-31dec.pdf" TargetMode="External"/><Relationship Id="rId7" Type="http://schemas.openxmlformats.org/officeDocument/2006/relationships/settings" Target="settings.xml"/><Relationship Id="rId12" Type="http://schemas.openxmlformats.org/officeDocument/2006/relationships/hyperlink" Target="https://elearning.rcgp.org.uk/mod/page/view.php?id=11603" TargetMode="External"/><Relationship Id="rId17" Type="http://schemas.openxmlformats.org/officeDocument/2006/relationships/hyperlink" Target="https://assets.publishing.service.gov.uk/government/uploads/system/uploads/attachment_data/file/950113/jcvi-advice-on-priority-groups-for-covid-19-vaccination-30-dec-2020-revis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regulatory-approval-of-covid-19-vaccine-astrazeneca/information-for-healthcare-professionals-on-covid-19-vaccine-astrazeneca" TargetMode="External"/><Relationship Id="rId20" Type="http://schemas.openxmlformats.org/officeDocument/2006/relationships/hyperlink" Target="https://assets.publishing.service.gov.uk/government/uploads/system/uploads/attachment_data/file/948757/Greenbook_chapter_14a_v4.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esus.org.uk/sites/default/files/2020-06/Primary%20Care%20Infographic.p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ps.nhs.uk/home/covid-19-vaccines/" TargetMode="External"/><Relationship Id="rId23" Type="http://schemas.openxmlformats.org/officeDocument/2006/relationships/hyperlink" Target="https://www.england.nhs.uk/coronavirus/wp-content/uploads/sites/52/2020/12/C0945-Governance-handling-and-preparation-of-vaccines-by-GP-led-local-vaccination-centres-PCN-designated-sites.pdf" TargetMode="External"/><Relationship Id="rId10" Type="http://schemas.openxmlformats.org/officeDocument/2006/relationships/hyperlink" Target="https://www.resus.org.uk/about-us/news-and-events/rcuk-publishes-anaphylaxis-guidance-vaccination-settings" TargetMode="External"/><Relationship Id="rId19" Type="http://schemas.openxmlformats.org/officeDocument/2006/relationships/hyperlink" Target="https://assets.publishing.service.gov.uk/government/uploads/system/uploads/attachment_data/file/948757/Greenbook_chapter_14a_v4.pdf" TargetMode="External"/><Relationship Id="rId4" Type="http://schemas.openxmlformats.org/officeDocument/2006/relationships/numbering" Target="numbering.xml"/><Relationship Id="rId9" Type="http://schemas.openxmlformats.org/officeDocument/2006/relationships/hyperlink" Target="https://www.england.nhs.uk/coronavirus/publication/standard-operating-procedure-covid-19-local-vaccination-services-deployment-in-community-settings/" TargetMode="External"/><Relationship Id="rId14" Type="http://schemas.openxmlformats.org/officeDocument/2006/relationships/hyperlink" Target="https://www.gov.uk/government/news/oxford-universityastrazeneca-covid-19-vaccine-approved" TargetMode="External"/><Relationship Id="rId22" Type="http://schemas.openxmlformats.org/officeDocument/2006/relationships/hyperlink" Target="https://www.sps.nhs.uk/home/covid-19-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2207C-9C0D-4B69-ABC4-B9F2A0C3EDB6}">
  <ds:schemaRefs>
    <ds:schemaRef ds:uri="http://schemas.microsoft.com/office/2006/metadata/properties"/>
    <ds:schemaRef ds:uri="594a9302-cb40-4ea2-b49d-3547dabd3d7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eadc141-380f-4fed-986d-05cc4ec2f7cc"/>
    <ds:schemaRef ds:uri="http://www.w3.org/XML/1998/namespace"/>
    <ds:schemaRef ds:uri="http://purl.org/dc/elements/1.1/"/>
  </ds:schemaRefs>
</ds:datastoreItem>
</file>

<file path=customXml/itemProps2.xml><?xml version="1.0" encoding="utf-8"?>
<ds:datastoreItem xmlns:ds="http://schemas.openxmlformats.org/officeDocument/2006/customXml" ds:itemID="{320EDE74-6B6B-4516-BDB2-D8198D18A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35368-92BD-4F6E-926B-CCF637738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2410</Words>
  <Characters>13739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Chalcraft</dc:creator>
  <cp:lastModifiedBy>Mason Amanda (Roaming)</cp:lastModifiedBy>
  <cp:revision>2</cp:revision>
  <dcterms:created xsi:type="dcterms:W3CDTF">2021-01-12T15:48:00Z</dcterms:created>
  <dcterms:modified xsi:type="dcterms:W3CDTF">2021-01-12T15:48:00Z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