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6" w:rsidRDefault="00EE122A" w:rsidP="00AD7A96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3629246</wp:posOffset>
            </wp:positionH>
            <wp:positionV relativeFrom="paragraph">
              <wp:posOffset>-67310</wp:posOffset>
            </wp:positionV>
            <wp:extent cx="1577330" cy="550495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30" cy="5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Somerset FT logo</w:t>
      </w:r>
    </w:p>
    <w:p w:rsidR="00EE122A" w:rsidRDefault="00EE122A" w:rsidP="00AD7A96">
      <w:pPr>
        <w:jc w:val="right"/>
        <w:rPr>
          <w:rFonts w:ascii="Arial" w:hAnsi="Arial" w:cs="Arial"/>
          <w:sz w:val="26"/>
          <w:szCs w:val="26"/>
        </w:rPr>
      </w:pPr>
    </w:p>
    <w:p w:rsidR="00200690" w:rsidRDefault="00200690" w:rsidP="00EE12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96B" w:rsidRDefault="009E296B" w:rsidP="00EE12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Learning Disability Deaths </w:t>
      </w:r>
      <w:r w:rsidR="00EE122A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>Covid-19</w:t>
      </w:r>
    </w:p>
    <w:p w:rsidR="009E296B" w:rsidRDefault="009E296B" w:rsidP="00EE122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Evidence and </w:t>
      </w:r>
      <w:r w:rsidR="00DD14A2">
        <w:rPr>
          <w:rFonts w:ascii="Arial" w:hAnsi="Arial" w:cs="Arial"/>
          <w:b/>
          <w:sz w:val="28"/>
          <w:szCs w:val="28"/>
        </w:rPr>
        <w:t>the Somerset Response</w:t>
      </w:r>
    </w:p>
    <w:p w:rsidR="00EE122A" w:rsidRPr="00261104" w:rsidRDefault="00EE122A" w:rsidP="00AD7A96">
      <w:pPr>
        <w:jc w:val="center"/>
        <w:rPr>
          <w:rFonts w:ascii="Arial" w:hAnsi="Arial" w:cs="Arial"/>
          <w:b/>
          <w:sz w:val="2"/>
          <w:szCs w:val="2"/>
        </w:rPr>
      </w:pPr>
    </w:p>
    <w:p w:rsidR="00173666" w:rsidRDefault="00173666" w:rsidP="00DD14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Recent national </w:t>
      </w:r>
      <w:r w:rsidR="00E54780">
        <w:rPr>
          <w:rFonts w:ascii="Arial" w:hAnsi="Arial" w:cs="Arial"/>
          <w:b/>
        </w:rPr>
        <w:t xml:space="preserve">reports </w:t>
      </w:r>
      <w:r>
        <w:rPr>
          <w:rFonts w:ascii="Arial" w:hAnsi="Arial" w:cs="Arial"/>
          <w:b/>
        </w:rPr>
        <w:t xml:space="preserve">and local data highlight the vulnerability of this group in relation to </w:t>
      </w:r>
      <w:r w:rsidR="00F1605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>Covid-19</w:t>
      </w:r>
      <w:r w:rsidR="00F16053">
        <w:rPr>
          <w:rFonts w:ascii="Arial" w:hAnsi="Arial" w:cs="Arial"/>
          <w:b/>
        </w:rPr>
        <w:t xml:space="preserve"> and we need to </w:t>
      </w:r>
      <w:r w:rsidR="000936A7">
        <w:rPr>
          <w:rFonts w:ascii="Arial" w:hAnsi="Arial" w:cs="Arial"/>
          <w:b/>
        </w:rPr>
        <w:t>ensur</w:t>
      </w:r>
      <w:r w:rsidR="00F16053">
        <w:rPr>
          <w:rFonts w:ascii="Arial" w:hAnsi="Arial" w:cs="Arial"/>
          <w:b/>
        </w:rPr>
        <w:t>e</w:t>
      </w:r>
      <w:r w:rsidR="000936A7">
        <w:rPr>
          <w:rFonts w:ascii="Arial" w:hAnsi="Arial" w:cs="Arial"/>
          <w:b/>
        </w:rPr>
        <w:t xml:space="preserve"> that</w:t>
      </w:r>
      <w:r w:rsidR="000936A7" w:rsidRPr="00173666">
        <w:rPr>
          <w:rFonts w:ascii="Arial" w:hAnsi="Arial" w:cs="Arial"/>
          <w:b/>
        </w:rPr>
        <w:t xml:space="preserve"> people with a learning disability in Somerset </w:t>
      </w:r>
      <w:r w:rsidR="000936A7">
        <w:rPr>
          <w:rFonts w:ascii="Arial" w:hAnsi="Arial" w:cs="Arial"/>
          <w:b/>
        </w:rPr>
        <w:t xml:space="preserve">are supported </w:t>
      </w:r>
      <w:r w:rsidR="00F16053">
        <w:rPr>
          <w:rFonts w:ascii="Arial" w:hAnsi="Arial" w:cs="Arial"/>
          <w:b/>
        </w:rPr>
        <w:t xml:space="preserve">   </w:t>
      </w:r>
      <w:r w:rsidR="000936A7" w:rsidRPr="00173666">
        <w:rPr>
          <w:rFonts w:ascii="Arial" w:hAnsi="Arial" w:cs="Arial"/>
          <w:b/>
        </w:rPr>
        <w:t>to stay as healthy as possible during the coming months</w:t>
      </w:r>
      <w:r w:rsidR="00F16053">
        <w:rPr>
          <w:rFonts w:ascii="Arial" w:hAnsi="Arial" w:cs="Arial"/>
          <w:b/>
        </w:rPr>
        <w:t xml:space="preserve">. </w:t>
      </w:r>
    </w:p>
    <w:p w:rsidR="000E3B14" w:rsidRDefault="000A7131" w:rsidP="007100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Primary </w:t>
      </w:r>
      <w:r w:rsidR="000E3B14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are play</w:t>
      </w:r>
      <w:r w:rsidR="000E3B1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 vital role </w:t>
      </w:r>
      <w:r w:rsidR="00F16053">
        <w:rPr>
          <w:rFonts w:ascii="Arial" w:hAnsi="Arial" w:cs="Arial"/>
          <w:b/>
        </w:rPr>
        <w:t xml:space="preserve">through the Learning Disability registers they hold and </w:t>
      </w:r>
      <w:r w:rsidR="000E3B14">
        <w:rPr>
          <w:rFonts w:ascii="Arial" w:hAnsi="Arial" w:cs="Arial"/>
          <w:b/>
        </w:rPr>
        <w:t xml:space="preserve">carrying out Annual Health Checks particularly </w:t>
      </w:r>
      <w:r w:rsidR="00E54780">
        <w:rPr>
          <w:rFonts w:ascii="Arial" w:hAnsi="Arial" w:cs="Arial"/>
          <w:b/>
        </w:rPr>
        <w:t>for</w:t>
      </w:r>
      <w:r w:rsidR="000E3B14">
        <w:rPr>
          <w:rFonts w:ascii="Arial" w:hAnsi="Arial" w:cs="Arial"/>
          <w:b/>
        </w:rPr>
        <w:t xml:space="preserve"> those </w:t>
      </w:r>
      <w:r w:rsidR="00E54780">
        <w:rPr>
          <w:rFonts w:ascii="Arial" w:hAnsi="Arial" w:cs="Arial"/>
          <w:b/>
        </w:rPr>
        <w:t xml:space="preserve">who are </w:t>
      </w:r>
      <w:r w:rsidR="000E3B14">
        <w:rPr>
          <w:rFonts w:ascii="Arial" w:hAnsi="Arial" w:cs="Arial"/>
          <w:b/>
        </w:rPr>
        <w:t>most vulnerable.</w:t>
      </w:r>
      <w:r w:rsidR="007100C0">
        <w:rPr>
          <w:rFonts w:ascii="Arial" w:hAnsi="Arial" w:cs="Arial"/>
          <w:b/>
        </w:rPr>
        <w:t xml:space="preserve"> </w:t>
      </w:r>
    </w:p>
    <w:p w:rsidR="00DD14A2" w:rsidRPr="00DD14A2" w:rsidRDefault="00DD14A2" w:rsidP="00DD14A2">
      <w:pPr>
        <w:jc w:val="center"/>
        <w:rPr>
          <w:rFonts w:ascii="Arial" w:hAnsi="Arial" w:cs="Arial"/>
          <w:b/>
          <w:sz w:val="2"/>
          <w:szCs w:val="2"/>
        </w:rPr>
      </w:pPr>
    </w:p>
    <w:p w:rsidR="009E296B" w:rsidRPr="00A33A4D" w:rsidRDefault="009E296B">
      <w:pPr>
        <w:rPr>
          <w:rFonts w:ascii="Arial" w:hAnsi="Arial" w:cs="Arial"/>
          <w:b/>
          <w:sz w:val="24"/>
          <w:szCs w:val="24"/>
        </w:rPr>
      </w:pPr>
      <w:proofErr w:type="spellStart"/>
      <w:r w:rsidRPr="00A33A4D">
        <w:rPr>
          <w:rFonts w:ascii="Arial" w:hAnsi="Arial" w:cs="Arial"/>
          <w:b/>
          <w:sz w:val="24"/>
          <w:szCs w:val="24"/>
        </w:rPr>
        <w:t>LeDeR</w:t>
      </w:r>
      <w:proofErr w:type="spellEnd"/>
      <w:r w:rsidRPr="00A33A4D">
        <w:rPr>
          <w:rFonts w:ascii="Arial" w:hAnsi="Arial" w:cs="Arial"/>
          <w:b/>
          <w:sz w:val="24"/>
          <w:szCs w:val="24"/>
        </w:rPr>
        <w:t xml:space="preserve"> and </w:t>
      </w:r>
      <w:r w:rsidR="00947128" w:rsidRPr="00A33A4D">
        <w:rPr>
          <w:rFonts w:ascii="Arial" w:hAnsi="Arial" w:cs="Arial"/>
          <w:b/>
          <w:sz w:val="24"/>
          <w:szCs w:val="24"/>
        </w:rPr>
        <w:t>Public Health England</w:t>
      </w:r>
      <w:r w:rsidRPr="00A33A4D">
        <w:rPr>
          <w:rFonts w:ascii="Arial" w:hAnsi="Arial" w:cs="Arial"/>
          <w:b/>
          <w:sz w:val="24"/>
          <w:szCs w:val="24"/>
        </w:rPr>
        <w:t xml:space="preserve"> </w:t>
      </w:r>
      <w:r w:rsidR="00173666" w:rsidRPr="00A33A4D">
        <w:rPr>
          <w:rFonts w:ascii="Arial" w:hAnsi="Arial" w:cs="Arial"/>
          <w:b/>
          <w:sz w:val="24"/>
          <w:szCs w:val="24"/>
        </w:rPr>
        <w:t>reports</w:t>
      </w:r>
    </w:p>
    <w:p w:rsidR="00947128" w:rsidRDefault="00590337" w:rsidP="00F72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47128">
        <w:rPr>
          <w:rFonts w:ascii="Arial" w:hAnsi="Arial" w:cs="Arial"/>
        </w:rPr>
        <w:t>PHE report show</w:t>
      </w:r>
      <w:r w:rsidR="000E3B14">
        <w:rPr>
          <w:rFonts w:ascii="Arial" w:hAnsi="Arial" w:cs="Arial"/>
        </w:rPr>
        <w:t>s</w:t>
      </w:r>
      <w:r w:rsidR="00947128">
        <w:rPr>
          <w:rFonts w:ascii="Arial" w:hAnsi="Arial" w:cs="Arial"/>
        </w:rPr>
        <w:t xml:space="preserve"> a death rate </w:t>
      </w:r>
      <w:r w:rsidR="00B90DDE">
        <w:rPr>
          <w:rFonts w:ascii="Arial" w:hAnsi="Arial" w:cs="Arial"/>
        </w:rPr>
        <w:t xml:space="preserve">from Covid-19 at least </w:t>
      </w:r>
      <w:r w:rsidR="00947128">
        <w:rPr>
          <w:rFonts w:ascii="Arial" w:hAnsi="Arial" w:cs="Arial"/>
        </w:rPr>
        <w:t>4.1 times higher</w:t>
      </w:r>
      <w:r>
        <w:rPr>
          <w:rFonts w:ascii="Arial" w:hAnsi="Arial" w:cs="Arial"/>
        </w:rPr>
        <w:t xml:space="preserve"> than the general population</w:t>
      </w:r>
      <w:r w:rsidR="00F728BC">
        <w:rPr>
          <w:rFonts w:ascii="Arial" w:hAnsi="Arial" w:cs="Arial"/>
        </w:rPr>
        <w:t xml:space="preserve"> (up to </w:t>
      </w:r>
      <w:r w:rsidR="00F728BC" w:rsidRPr="00F728BC">
        <w:rPr>
          <w:rFonts w:ascii="Arial" w:hAnsi="Arial" w:cs="Arial"/>
        </w:rPr>
        <w:t xml:space="preserve">692 </w:t>
      </w:r>
      <w:r w:rsidR="00F728BC">
        <w:rPr>
          <w:rFonts w:ascii="Arial" w:hAnsi="Arial" w:cs="Arial"/>
        </w:rPr>
        <w:t>per 100,000 as compared to 109 per 100,000)</w:t>
      </w:r>
      <w:r w:rsidR="000E3B14">
        <w:rPr>
          <w:rFonts w:ascii="Arial" w:hAnsi="Arial" w:cs="Arial"/>
        </w:rPr>
        <w:t xml:space="preserve">; </w:t>
      </w:r>
      <w:r w:rsidR="00947128" w:rsidRPr="00947128">
        <w:rPr>
          <w:rFonts w:ascii="Arial" w:hAnsi="Arial" w:cs="Arial"/>
        </w:rPr>
        <w:t>for t</w:t>
      </w:r>
      <w:r w:rsidR="00B90DDE">
        <w:rPr>
          <w:rFonts w:ascii="Arial" w:hAnsi="Arial" w:cs="Arial"/>
        </w:rPr>
        <w:t xml:space="preserve">he 18-34 age group </w:t>
      </w:r>
      <w:r w:rsidR="00F728BC">
        <w:rPr>
          <w:rFonts w:ascii="Arial" w:hAnsi="Arial" w:cs="Arial"/>
        </w:rPr>
        <w:t xml:space="preserve">is was </w:t>
      </w:r>
      <w:r w:rsidR="00947128" w:rsidRPr="00947128">
        <w:rPr>
          <w:rFonts w:ascii="Arial" w:hAnsi="Arial" w:cs="Arial"/>
        </w:rPr>
        <w:t>30 times higher</w:t>
      </w:r>
      <w:r>
        <w:rPr>
          <w:rFonts w:ascii="Arial" w:hAnsi="Arial" w:cs="Arial"/>
        </w:rPr>
        <w:t xml:space="preserve">. </w:t>
      </w:r>
    </w:p>
    <w:p w:rsidR="00DD14A2" w:rsidRPr="00DD14A2" w:rsidRDefault="00DD14A2" w:rsidP="00F728BC">
      <w:pPr>
        <w:rPr>
          <w:rFonts w:ascii="Arial" w:hAnsi="Arial" w:cs="Arial"/>
          <w:sz w:val="2"/>
          <w:szCs w:val="2"/>
        </w:rPr>
      </w:pPr>
    </w:p>
    <w:p w:rsidR="005361C5" w:rsidRDefault="005361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6ED51C" wp14:editId="34F25D94">
            <wp:simplePos x="0" y="0"/>
            <wp:positionH relativeFrom="column">
              <wp:posOffset>1499235</wp:posOffset>
            </wp:positionH>
            <wp:positionV relativeFrom="paragraph">
              <wp:posOffset>250825</wp:posOffset>
            </wp:positionV>
            <wp:extent cx="4620895" cy="2268220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384" w:rsidRPr="00EF5384" w:rsidRDefault="00EF5384">
      <w:pPr>
        <w:rPr>
          <w:rFonts w:ascii="Arial" w:hAnsi="Arial" w:cs="Arial"/>
          <w:b/>
          <w:sz w:val="20"/>
          <w:szCs w:val="20"/>
        </w:rPr>
      </w:pPr>
      <w:r w:rsidRPr="00EF5384">
        <w:rPr>
          <w:rFonts w:ascii="Arial" w:hAnsi="Arial" w:cs="Arial"/>
          <w:b/>
          <w:sz w:val="20"/>
          <w:szCs w:val="20"/>
        </w:rPr>
        <w:t>Graph from PHE report</w:t>
      </w:r>
    </w:p>
    <w:p w:rsidR="00EF5384" w:rsidRDefault="00EF5384">
      <w:pPr>
        <w:rPr>
          <w:rFonts w:ascii="Arial" w:hAnsi="Arial" w:cs="Arial"/>
          <w:sz w:val="20"/>
          <w:szCs w:val="20"/>
        </w:rPr>
      </w:pPr>
    </w:p>
    <w:p w:rsidR="00EF5384" w:rsidRDefault="00EF5384">
      <w:pPr>
        <w:rPr>
          <w:rFonts w:ascii="Arial" w:hAnsi="Arial" w:cs="Arial"/>
          <w:sz w:val="20"/>
          <w:szCs w:val="20"/>
        </w:rPr>
      </w:pPr>
    </w:p>
    <w:p w:rsidR="00EF5384" w:rsidRDefault="00EF5384">
      <w:pPr>
        <w:rPr>
          <w:rFonts w:ascii="Arial" w:hAnsi="Arial" w:cs="Arial"/>
          <w:sz w:val="20"/>
          <w:szCs w:val="20"/>
        </w:rPr>
      </w:pPr>
    </w:p>
    <w:p w:rsidR="00EF5384" w:rsidRDefault="00EF5384">
      <w:pPr>
        <w:rPr>
          <w:rFonts w:ascii="Arial" w:hAnsi="Arial" w:cs="Arial"/>
          <w:sz w:val="20"/>
          <w:szCs w:val="20"/>
        </w:rPr>
      </w:pPr>
    </w:p>
    <w:p w:rsidR="00EF5384" w:rsidRPr="00EF5384" w:rsidRDefault="00EF5384">
      <w:pPr>
        <w:rPr>
          <w:rFonts w:ascii="Arial" w:hAnsi="Arial" w:cs="Arial"/>
          <w:sz w:val="20"/>
          <w:szCs w:val="20"/>
        </w:rPr>
      </w:pPr>
    </w:p>
    <w:p w:rsidR="00EF5384" w:rsidRPr="009E296B" w:rsidRDefault="00EF5384">
      <w:pPr>
        <w:rPr>
          <w:rFonts w:ascii="Arial" w:hAnsi="Arial" w:cs="Arial"/>
        </w:rPr>
      </w:pPr>
    </w:p>
    <w:p w:rsidR="009E296B" w:rsidRDefault="009E296B">
      <w:pPr>
        <w:rPr>
          <w:rFonts w:ascii="Arial" w:hAnsi="Arial" w:cs="Arial"/>
        </w:rPr>
      </w:pPr>
    </w:p>
    <w:p w:rsidR="00EF5384" w:rsidRDefault="00EF5384">
      <w:pPr>
        <w:rPr>
          <w:rFonts w:ascii="Arial" w:hAnsi="Arial" w:cs="Arial"/>
        </w:rPr>
      </w:pPr>
    </w:p>
    <w:p w:rsidR="000936A7" w:rsidRPr="009E296B" w:rsidRDefault="000936A7">
      <w:pPr>
        <w:rPr>
          <w:rFonts w:ascii="Arial" w:hAnsi="Arial" w:cs="Arial"/>
        </w:rPr>
      </w:pPr>
      <w:r w:rsidRPr="000936A7">
        <w:rPr>
          <w:rFonts w:ascii="Arial" w:hAnsi="Arial" w:cs="Arial"/>
        </w:rPr>
        <w:t xml:space="preserve">The </w:t>
      </w:r>
      <w:proofErr w:type="spellStart"/>
      <w:r w:rsidRPr="000936A7">
        <w:rPr>
          <w:rFonts w:ascii="Arial" w:hAnsi="Arial" w:cs="Arial"/>
        </w:rPr>
        <w:t>LeDeR</w:t>
      </w:r>
      <w:proofErr w:type="spellEnd"/>
      <w:r w:rsidRPr="000936A7">
        <w:rPr>
          <w:rFonts w:ascii="Arial" w:hAnsi="Arial" w:cs="Arial"/>
        </w:rPr>
        <w:t xml:space="preserve"> report shows a striking difference in age </w:t>
      </w:r>
      <w:r w:rsidR="00205AE4">
        <w:rPr>
          <w:rFonts w:ascii="Arial" w:hAnsi="Arial" w:cs="Arial"/>
        </w:rPr>
        <w:t>for</w:t>
      </w:r>
      <w:r w:rsidRPr="000936A7">
        <w:rPr>
          <w:rFonts w:ascii="Arial" w:hAnsi="Arial" w:cs="Arial"/>
        </w:rPr>
        <w:t xml:space="preserve"> Covid-19 deaths</w:t>
      </w:r>
      <w:r w:rsidR="00205AE4">
        <w:rPr>
          <w:rFonts w:ascii="Arial" w:hAnsi="Arial" w:cs="Arial"/>
        </w:rPr>
        <w:t>, with</w:t>
      </w:r>
      <w:r w:rsidRPr="000936A7">
        <w:rPr>
          <w:rFonts w:ascii="Arial" w:hAnsi="Arial" w:cs="Arial"/>
        </w:rPr>
        <w:t xml:space="preserve"> </w:t>
      </w:r>
      <w:r w:rsidR="00205AE4">
        <w:rPr>
          <w:rFonts w:ascii="Arial" w:hAnsi="Arial" w:cs="Arial"/>
        </w:rPr>
        <w:t>a</w:t>
      </w:r>
      <w:r w:rsidR="00205AE4" w:rsidRPr="00205AE4">
        <w:rPr>
          <w:rFonts w:ascii="Arial" w:hAnsi="Arial" w:cs="Arial"/>
        </w:rPr>
        <w:t xml:space="preserve">bout half </w:t>
      </w:r>
      <w:r w:rsidR="00205AE4">
        <w:rPr>
          <w:rFonts w:ascii="Arial" w:hAnsi="Arial" w:cs="Arial"/>
        </w:rPr>
        <w:t xml:space="preserve">occurring in    those </w:t>
      </w:r>
      <w:r w:rsidR="00205AE4" w:rsidRPr="00205AE4">
        <w:rPr>
          <w:rFonts w:ascii="Arial" w:hAnsi="Arial" w:cs="Arial"/>
        </w:rPr>
        <w:t>aged 50 – 69 (gen</w:t>
      </w:r>
      <w:r w:rsidR="00205AE4">
        <w:rPr>
          <w:rFonts w:ascii="Arial" w:hAnsi="Arial" w:cs="Arial"/>
        </w:rPr>
        <w:t>eral</w:t>
      </w:r>
      <w:r w:rsidR="00205AE4" w:rsidRPr="00205AE4">
        <w:rPr>
          <w:rFonts w:ascii="Arial" w:hAnsi="Arial" w:cs="Arial"/>
        </w:rPr>
        <w:t xml:space="preserve"> population half over 85). </w:t>
      </w:r>
      <w:r>
        <w:rPr>
          <w:rFonts w:ascii="Arial" w:hAnsi="Arial" w:cs="Arial"/>
        </w:rPr>
        <w:t xml:space="preserve">The report also highlights the main </w:t>
      </w:r>
      <w:r w:rsidR="00CA2F67">
        <w:rPr>
          <w:rFonts w:ascii="Arial" w:hAnsi="Arial" w:cs="Arial"/>
        </w:rPr>
        <w:t xml:space="preserve">long-term health conditions </w:t>
      </w:r>
      <w:r>
        <w:rPr>
          <w:rFonts w:ascii="Arial" w:hAnsi="Arial" w:cs="Arial"/>
        </w:rPr>
        <w:t xml:space="preserve">of those who died </w:t>
      </w:r>
      <w:r w:rsidR="00CA2F67">
        <w:rPr>
          <w:rFonts w:ascii="Arial" w:hAnsi="Arial" w:cs="Arial"/>
        </w:rPr>
        <w:t>providing opportunity for preventative measures to be put in place</w:t>
      </w:r>
      <w:r>
        <w:rPr>
          <w:rFonts w:ascii="Arial" w:hAnsi="Arial" w:cs="Arial"/>
        </w:rPr>
        <w:t>.</w:t>
      </w:r>
    </w:p>
    <w:p w:rsidR="009E296B" w:rsidRPr="00F728BC" w:rsidRDefault="000936A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LeDeR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9E296B" w:rsidRPr="00F728BC">
        <w:rPr>
          <w:rFonts w:ascii="Arial" w:hAnsi="Arial" w:cs="Arial"/>
          <w:b/>
          <w:sz w:val="24"/>
          <w:szCs w:val="24"/>
        </w:rPr>
        <w:t xml:space="preserve">– </w:t>
      </w:r>
      <w:r w:rsidR="00205AE4">
        <w:rPr>
          <w:rFonts w:ascii="Arial" w:hAnsi="Arial" w:cs="Arial"/>
          <w:b/>
          <w:sz w:val="24"/>
          <w:szCs w:val="24"/>
        </w:rPr>
        <w:t xml:space="preserve">existing </w:t>
      </w:r>
      <w:r w:rsidR="009E296B" w:rsidRPr="00F728BC">
        <w:rPr>
          <w:rFonts w:ascii="Arial" w:hAnsi="Arial" w:cs="Arial"/>
          <w:b/>
          <w:sz w:val="24"/>
          <w:szCs w:val="24"/>
        </w:rPr>
        <w:t xml:space="preserve">conditions </w:t>
      </w:r>
      <w:r w:rsidR="00B27797">
        <w:rPr>
          <w:rFonts w:ascii="Arial" w:hAnsi="Arial" w:cs="Arial"/>
          <w:b/>
          <w:sz w:val="24"/>
          <w:szCs w:val="24"/>
        </w:rPr>
        <w:t>of those</w:t>
      </w:r>
      <w:r w:rsidR="009E296B" w:rsidRPr="00F728BC">
        <w:rPr>
          <w:rFonts w:ascii="Arial" w:hAnsi="Arial" w:cs="Arial"/>
          <w:b/>
          <w:sz w:val="24"/>
          <w:szCs w:val="24"/>
        </w:rPr>
        <w:t xml:space="preserve"> who died from Covid-19 </w:t>
      </w:r>
    </w:p>
    <w:p w:rsidR="00173666" w:rsidRPr="005361C5" w:rsidRDefault="00EF5384" w:rsidP="009E296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61C5">
        <w:rPr>
          <w:rFonts w:ascii="Arial" w:hAnsi="Arial" w:cs="Arial"/>
        </w:rPr>
        <w:t>Mobility impairment</w:t>
      </w:r>
      <w:r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ab/>
        <w:t>74%</w:t>
      </w:r>
      <w:r w:rsidR="00173666" w:rsidRPr="005361C5">
        <w:rPr>
          <w:rFonts w:ascii="Arial" w:hAnsi="Arial" w:cs="Arial"/>
        </w:rPr>
        <w:t xml:space="preserve"> </w:t>
      </w:r>
    </w:p>
    <w:p w:rsidR="009E296B" w:rsidRPr="005361C5" w:rsidRDefault="009E296B" w:rsidP="009E296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61C5">
        <w:rPr>
          <w:rFonts w:ascii="Arial" w:hAnsi="Arial" w:cs="Arial"/>
        </w:rPr>
        <w:t>Respiratory condit</w:t>
      </w:r>
      <w:r w:rsidR="00947128" w:rsidRPr="005361C5">
        <w:rPr>
          <w:rFonts w:ascii="Arial" w:hAnsi="Arial" w:cs="Arial"/>
        </w:rPr>
        <w:t>i</w:t>
      </w:r>
      <w:r w:rsidRPr="005361C5">
        <w:rPr>
          <w:rFonts w:ascii="Arial" w:hAnsi="Arial" w:cs="Arial"/>
        </w:rPr>
        <w:t xml:space="preserve">ons </w:t>
      </w:r>
      <w:r w:rsidRPr="005361C5">
        <w:rPr>
          <w:rFonts w:ascii="Arial" w:hAnsi="Arial" w:cs="Arial"/>
        </w:rPr>
        <w:tab/>
      </w:r>
      <w:r w:rsid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>72%</w:t>
      </w:r>
    </w:p>
    <w:p w:rsidR="00173666" w:rsidRPr="005361C5" w:rsidRDefault="00173666" w:rsidP="009E296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61C5">
        <w:rPr>
          <w:rFonts w:ascii="Arial" w:hAnsi="Arial" w:cs="Arial"/>
        </w:rPr>
        <w:t>Epilepsy</w:t>
      </w:r>
      <w:r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ab/>
      </w:r>
      <w:r w:rsidR="00205AE4"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>48%</w:t>
      </w:r>
    </w:p>
    <w:p w:rsidR="00F728BC" w:rsidRPr="005361C5" w:rsidRDefault="00F728BC" w:rsidP="009E296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61C5">
        <w:rPr>
          <w:rFonts w:ascii="Arial" w:hAnsi="Arial" w:cs="Arial"/>
        </w:rPr>
        <w:t>Cardiovascular disease</w:t>
      </w:r>
      <w:r w:rsidRPr="005361C5">
        <w:rPr>
          <w:rFonts w:ascii="Arial" w:hAnsi="Arial" w:cs="Arial"/>
        </w:rPr>
        <w:tab/>
      </w:r>
      <w:r w:rsid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>34%</w:t>
      </w:r>
    </w:p>
    <w:p w:rsidR="009E296B" w:rsidRPr="005361C5" w:rsidRDefault="009E296B" w:rsidP="009E296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61C5">
        <w:rPr>
          <w:rFonts w:ascii="Arial" w:hAnsi="Arial" w:cs="Arial"/>
        </w:rPr>
        <w:t>Hypertension</w:t>
      </w:r>
      <w:r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ab/>
        <w:t>33%</w:t>
      </w:r>
    </w:p>
    <w:p w:rsidR="00EF5384" w:rsidRPr="005361C5" w:rsidRDefault="009E296B" w:rsidP="00EF538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61C5">
        <w:rPr>
          <w:rFonts w:ascii="Arial" w:hAnsi="Arial" w:cs="Arial"/>
        </w:rPr>
        <w:t>Obesity</w:t>
      </w:r>
      <w:r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ab/>
      </w:r>
      <w:r w:rsidR="00205AE4" w:rsidRPr="005361C5">
        <w:rPr>
          <w:rFonts w:ascii="Arial" w:hAnsi="Arial" w:cs="Arial"/>
        </w:rPr>
        <w:tab/>
      </w:r>
      <w:r w:rsidRPr="005361C5">
        <w:rPr>
          <w:rFonts w:ascii="Arial" w:hAnsi="Arial" w:cs="Arial"/>
        </w:rPr>
        <w:t>33%</w:t>
      </w:r>
    </w:p>
    <w:p w:rsidR="009E296B" w:rsidRPr="005361C5" w:rsidRDefault="009E296B" w:rsidP="00EF538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361C5">
        <w:rPr>
          <w:rFonts w:ascii="Arial" w:hAnsi="Arial" w:cs="Arial"/>
        </w:rPr>
        <w:t xml:space="preserve">Down’s syndrome </w:t>
      </w:r>
      <w:r w:rsidR="00EF5384" w:rsidRPr="005361C5">
        <w:rPr>
          <w:rFonts w:ascii="Arial" w:hAnsi="Arial" w:cs="Arial"/>
        </w:rPr>
        <w:tab/>
      </w:r>
      <w:r w:rsidR="00EF5384" w:rsidRPr="005361C5">
        <w:rPr>
          <w:rFonts w:ascii="Arial" w:hAnsi="Arial" w:cs="Arial"/>
        </w:rPr>
        <w:tab/>
        <w:t xml:space="preserve">20%  - </w:t>
      </w:r>
      <w:r w:rsidRPr="005361C5">
        <w:rPr>
          <w:rFonts w:ascii="Arial" w:hAnsi="Arial" w:cs="Arial"/>
        </w:rPr>
        <w:t xml:space="preserve">now on </w:t>
      </w:r>
      <w:r w:rsidR="00DD14A2" w:rsidRPr="005361C5">
        <w:rPr>
          <w:rFonts w:ascii="Arial" w:hAnsi="Arial" w:cs="Arial"/>
        </w:rPr>
        <w:t xml:space="preserve">extremely </w:t>
      </w:r>
      <w:r w:rsidRPr="005361C5">
        <w:rPr>
          <w:rFonts w:ascii="Arial" w:hAnsi="Arial" w:cs="Arial"/>
        </w:rPr>
        <w:t>clinically vulnerable list (shielding)</w:t>
      </w:r>
    </w:p>
    <w:p w:rsidR="00200690" w:rsidRDefault="00200690">
      <w:pPr>
        <w:rPr>
          <w:rFonts w:ascii="Arial" w:hAnsi="Arial" w:cs="Arial"/>
          <w:b/>
          <w:sz w:val="24"/>
          <w:szCs w:val="24"/>
        </w:rPr>
      </w:pPr>
    </w:p>
    <w:p w:rsidR="00205AE4" w:rsidRDefault="00205AE4">
      <w:pPr>
        <w:rPr>
          <w:rFonts w:ascii="Arial" w:hAnsi="Arial" w:cs="Arial"/>
          <w:b/>
          <w:sz w:val="24"/>
          <w:szCs w:val="24"/>
        </w:rPr>
      </w:pPr>
    </w:p>
    <w:p w:rsidR="00205AE4" w:rsidRDefault="00205AE4">
      <w:pPr>
        <w:rPr>
          <w:rFonts w:ascii="Arial" w:hAnsi="Arial" w:cs="Arial"/>
          <w:b/>
          <w:sz w:val="24"/>
          <w:szCs w:val="24"/>
        </w:rPr>
      </w:pPr>
    </w:p>
    <w:p w:rsidR="00205AE4" w:rsidRDefault="00205AE4">
      <w:pPr>
        <w:rPr>
          <w:rFonts w:ascii="Arial" w:hAnsi="Arial" w:cs="Arial"/>
          <w:b/>
          <w:sz w:val="24"/>
          <w:szCs w:val="24"/>
        </w:rPr>
      </w:pPr>
    </w:p>
    <w:p w:rsidR="009E296B" w:rsidRPr="00DD14A2" w:rsidRDefault="00947128">
      <w:pPr>
        <w:rPr>
          <w:rFonts w:ascii="Arial" w:hAnsi="Arial" w:cs="Arial"/>
          <w:b/>
          <w:sz w:val="24"/>
          <w:szCs w:val="24"/>
        </w:rPr>
      </w:pPr>
      <w:r w:rsidRPr="00DD14A2">
        <w:rPr>
          <w:rFonts w:ascii="Arial" w:hAnsi="Arial" w:cs="Arial"/>
          <w:b/>
          <w:sz w:val="24"/>
          <w:szCs w:val="24"/>
        </w:rPr>
        <w:t xml:space="preserve">Local </w:t>
      </w:r>
      <w:r w:rsidR="009E296B" w:rsidRPr="00DD14A2">
        <w:rPr>
          <w:rFonts w:ascii="Arial" w:hAnsi="Arial" w:cs="Arial"/>
          <w:b/>
          <w:sz w:val="24"/>
          <w:szCs w:val="24"/>
        </w:rPr>
        <w:t xml:space="preserve">Data </w:t>
      </w:r>
    </w:p>
    <w:p w:rsidR="00A33A4D" w:rsidRDefault="00590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Somerset CCG</w:t>
      </w:r>
      <w:r w:rsidR="00F728BC">
        <w:rPr>
          <w:rFonts w:ascii="Arial" w:hAnsi="Arial" w:cs="Arial"/>
          <w:b/>
        </w:rPr>
        <w:t xml:space="preserve"> </w:t>
      </w:r>
    </w:p>
    <w:p w:rsidR="00F728BC" w:rsidRPr="00CC6B96" w:rsidRDefault="00EE12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CCG </w:t>
      </w:r>
      <w:r w:rsidR="00CC6B96">
        <w:rPr>
          <w:rFonts w:ascii="Arial" w:hAnsi="Arial" w:cs="Arial"/>
        </w:rPr>
        <w:t xml:space="preserve">has compiled </w:t>
      </w:r>
      <w:r>
        <w:rPr>
          <w:rFonts w:ascii="Arial" w:hAnsi="Arial" w:cs="Arial"/>
        </w:rPr>
        <w:t xml:space="preserve">data </w:t>
      </w:r>
      <w:r w:rsidR="00CC6B96">
        <w:rPr>
          <w:rFonts w:ascii="Arial" w:hAnsi="Arial" w:cs="Arial"/>
        </w:rPr>
        <w:t xml:space="preserve">regarding </w:t>
      </w:r>
      <w:r>
        <w:rPr>
          <w:rFonts w:ascii="Arial" w:hAnsi="Arial" w:cs="Arial"/>
        </w:rPr>
        <w:t xml:space="preserve">learning disability </w:t>
      </w:r>
      <w:r w:rsidR="00CC6B96">
        <w:rPr>
          <w:rFonts w:ascii="Arial" w:hAnsi="Arial" w:cs="Arial"/>
        </w:rPr>
        <w:t>deaths in Somerset</w:t>
      </w:r>
      <w:r>
        <w:rPr>
          <w:rFonts w:ascii="Arial" w:hAnsi="Arial" w:cs="Arial"/>
        </w:rPr>
        <w:t xml:space="preserve">. The </w:t>
      </w:r>
      <w:r w:rsidR="00CC6B96">
        <w:rPr>
          <w:rFonts w:ascii="Arial" w:hAnsi="Arial" w:cs="Arial"/>
        </w:rPr>
        <w:t>g</w:t>
      </w:r>
      <w:r w:rsidR="00DD14A2" w:rsidRPr="00CC6B96">
        <w:rPr>
          <w:rFonts w:ascii="Arial" w:hAnsi="Arial" w:cs="Arial"/>
        </w:rPr>
        <w:t xml:space="preserve">raph </w:t>
      </w:r>
      <w:r w:rsidR="00CA2F67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illustrates that </w:t>
      </w:r>
      <w:r w:rsidR="00F16053">
        <w:rPr>
          <w:rFonts w:ascii="Arial" w:hAnsi="Arial" w:cs="Arial"/>
        </w:rPr>
        <w:t>deaths have d</w:t>
      </w:r>
      <w:r w:rsidR="00F16053" w:rsidRPr="00F16053">
        <w:rPr>
          <w:rFonts w:ascii="Arial" w:hAnsi="Arial" w:cs="Arial"/>
        </w:rPr>
        <w:t xml:space="preserve">oubled </w:t>
      </w:r>
      <w:r w:rsidR="00F16053">
        <w:rPr>
          <w:rFonts w:ascii="Arial" w:hAnsi="Arial" w:cs="Arial"/>
        </w:rPr>
        <w:t xml:space="preserve">this year so </w:t>
      </w:r>
      <w:r w:rsidR="00F16053" w:rsidRPr="00F16053">
        <w:rPr>
          <w:rFonts w:ascii="Arial" w:hAnsi="Arial" w:cs="Arial"/>
        </w:rPr>
        <w:t>far</w:t>
      </w:r>
      <w:r w:rsidR="00F16053">
        <w:rPr>
          <w:rFonts w:ascii="Arial" w:hAnsi="Arial" w:cs="Arial"/>
        </w:rPr>
        <w:t xml:space="preserve"> to 50</w:t>
      </w:r>
      <w:r>
        <w:rPr>
          <w:rFonts w:ascii="Arial" w:hAnsi="Arial" w:cs="Arial"/>
        </w:rPr>
        <w:t>,</w:t>
      </w:r>
      <w:r w:rsidR="00F16053">
        <w:rPr>
          <w:rFonts w:ascii="Arial" w:hAnsi="Arial" w:cs="Arial"/>
        </w:rPr>
        <w:t xml:space="preserve"> compared to </w:t>
      </w:r>
      <w:r w:rsidR="00F16053" w:rsidRPr="00F16053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 xml:space="preserve">in the whole of </w:t>
      </w:r>
      <w:r w:rsidR="00F16053" w:rsidRPr="00F16053">
        <w:rPr>
          <w:rFonts w:ascii="Arial" w:hAnsi="Arial" w:cs="Arial"/>
        </w:rPr>
        <w:t>last year and 28 in 2018</w:t>
      </w:r>
      <w:r w:rsidR="00F16053">
        <w:rPr>
          <w:rFonts w:ascii="Arial" w:hAnsi="Arial" w:cs="Arial"/>
        </w:rPr>
        <w:t xml:space="preserve">. </w:t>
      </w:r>
      <w:r w:rsidR="00CA2F67">
        <w:rPr>
          <w:rFonts w:ascii="Arial" w:hAnsi="Arial" w:cs="Arial"/>
        </w:rPr>
        <w:t>N</w:t>
      </w:r>
      <w:r w:rsidR="00A33A4D" w:rsidRPr="00CC6B96">
        <w:rPr>
          <w:rFonts w:ascii="Arial" w:hAnsi="Arial" w:cs="Arial"/>
        </w:rPr>
        <w:t>umbers directly attributable to Covid-19 are low, however in many cases may not be confirmed as a cause of death</w:t>
      </w:r>
      <w:r w:rsidR="00CA2F67">
        <w:rPr>
          <w:rFonts w:ascii="Arial" w:hAnsi="Arial" w:cs="Arial"/>
        </w:rPr>
        <w:t xml:space="preserve">. </w:t>
      </w:r>
      <w:r w:rsidR="00A33A4D" w:rsidRPr="00CC6B96">
        <w:rPr>
          <w:rFonts w:ascii="Arial" w:hAnsi="Arial" w:cs="Arial"/>
        </w:rPr>
        <w:t xml:space="preserve"> </w:t>
      </w:r>
    </w:p>
    <w:p w:rsidR="00A33A4D" w:rsidRDefault="00DB0BB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EED3890" wp14:editId="1D9FE7A6">
            <wp:extent cx="4683318" cy="2772152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98" cy="277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A4D" w:rsidRDefault="00A33A4D">
      <w:pPr>
        <w:rPr>
          <w:rFonts w:ascii="Arial" w:hAnsi="Arial" w:cs="Arial"/>
          <w:b/>
        </w:rPr>
      </w:pPr>
    </w:p>
    <w:p w:rsidR="00CC6B96" w:rsidRDefault="00590337" w:rsidP="00864B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Somerset F</w:t>
      </w:r>
      <w:r w:rsidR="00864B59">
        <w:rPr>
          <w:rFonts w:ascii="Arial" w:hAnsi="Arial" w:cs="Arial"/>
          <w:b/>
        </w:rPr>
        <w:t xml:space="preserve">oundation </w:t>
      </w:r>
      <w:r>
        <w:rPr>
          <w:rFonts w:ascii="Arial" w:hAnsi="Arial" w:cs="Arial"/>
          <w:b/>
        </w:rPr>
        <w:t>T</w:t>
      </w:r>
      <w:r w:rsidR="00864B59">
        <w:rPr>
          <w:rFonts w:ascii="Arial" w:hAnsi="Arial" w:cs="Arial"/>
          <w:b/>
        </w:rPr>
        <w:t>rust</w:t>
      </w:r>
    </w:p>
    <w:p w:rsidR="0035298F" w:rsidRDefault="00CA2F67" w:rsidP="00864B5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Somerset Foundation Trust is w</w:t>
      </w:r>
      <w:r w:rsidR="00CC6B96" w:rsidRPr="00CC6B96">
        <w:rPr>
          <w:rFonts w:ascii="Arial" w:hAnsi="Arial" w:cs="Arial"/>
        </w:rPr>
        <w:t xml:space="preserve">orking with the CCG </w:t>
      </w:r>
      <w:r>
        <w:rPr>
          <w:rFonts w:ascii="Arial" w:hAnsi="Arial" w:cs="Arial"/>
        </w:rPr>
        <w:t xml:space="preserve">to identify those who are vulnerable to Covid-19 and </w:t>
      </w:r>
      <w:r w:rsidR="00CC6B96" w:rsidRPr="00CC6B96">
        <w:rPr>
          <w:rFonts w:ascii="Arial" w:hAnsi="Arial" w:cs="Arial"/>
        </w:rPr>
        <w:t xml:space="preserve">additional data has </w:t>
      </w:r>
      <w:r w:rsidR="00CC6B96">
        <w:rPr>
          <w:rFonts w:ascii="Arial" w:hAnsi="Arial" w:cs="Arial"/>
        </w:rPr>
        <w:t>been gathered</w:t>
      </w:r>
      <w:r w:rsidR="00695F20">
        <w:rPr>
          <w:rFonts w:ascii="Arial" w:hAnsi="Arial" w:cs="Arial"/>
        </w:rPr>
        <w:t>.</w:t>
      </w:r>
      <w:r w:rsidR="00CC6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confirms an i</w:t>
      </w:r>
      <w:r w:rsidR="00A33A4D" w:rsidRPr="00CC6B96">
        <w:rPr>
          <w:rFonts w:ascii="Arial" w:hAnsi="Arial" w:cs="Arial"/>
        </w:rPr>
        <w:t>ncrease in the main cause of death recorded as a respiratory issue such as pneumonia</w:t>
      </w:r>
      <w:r w:rsidR="0035298F" w:rsidRPr="00CC6B96">
        <w:rPr>
          <w:rFonts w:ascii="Arial" w:hAnsi="Arial" w:cs="Arial"/>
        </w:rPr>
        <w:t xml:space="preserve"> in </w:t>
      </w:r>
      <w:r w:rsidR="00695F20">
        <w:rPr>
          <w:rFonts w:ascii="Arial" w:hAnsi="Arial" w:cs="Arial"/>
        </w:rPr>
        <w:t xml:space="preserve">the </w:t>
      </w:r>
      <w:r w:rsidR="0035298F" w:rsidRPr="00CC6B96">
        <w:rPr>
          <w:rFonts w:ascii="Arial" w:hAnsi="Arial" w:cs="Arial"/>
        </w:rPr>
        <w:t>table below</w:t>
      </w:r>
      <w:r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545"/>
        <w:gridCol w:w="1099"/>
        <w:gridCol w:w="1134"/>
      </w:tblGrid>
      <w:tr w:rsidR="00DB0BB4" w:rsidRPr="00DB0BB4" w:rsidTr="00DB0BB4">
        <w:tc>
          <w:tcPr>
            <w:tcW w:w="3545" w:type="dxa"/>
          </w:tcPr>
          <w:p w:rsidR="00DB0BB4" w:rsidRPr="00DB0BB4" w:rsidDel="002835B9" w:rsidRDefault="00DB0BB4" w:rsidP="00DB0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Main Cause of Death (</w:t>
            </w:r>
            <w:proofErr w:type="spellStart"/>
            <w:r w:rsidRPr="00DB0BB4">
              <w:rPr>
                <w:rFonts w:ascii="Arial" w:hAnsi="Arial" w:cs="Arial"/>
                <w:b/>
                <w:sz w:val="20"/>
                <w:szCs w:val="20"/>
              </w:rPr>
              <w:t>LeDeR</w:t>
            </w:r>
            <w:proofErr w:type="spellEnd"/>
            <w:r w:rsidRPr="00DB0BB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99" w:type="dxa"/>
          </w:tcPr>
          <w:p w:rsidR="00DB0BB4" w:rsidRPr="00DB0BB4" w:rsidDel="002835B9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2020 (Jan-Oct)</w:t>
            </w:r>
          </w:p>
        </w:tc>
        <w:tc>
          <w:tcPr>
            <w:tcW w:w="1134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DB0BB4" w:rsidRPr="00DB0BB4" w:rsidTr="00DB0BB4">
        <w:tc>
          <w:tcPr>
            <w:tcW w:w="3545" w:type="dxa"/>
          </w:tcPr>
          <w:p w:rsidR="00DB0BB4" w:rsidRPr="00DB0BB4" w:rsidRDefault="00DB0BB4" w:rsidP="00DB0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Aspiration Pneumonia</w:t>
            </w:r>
          </w:p>
        </w:tc>
        <w:tc>
          <w:tcPr>
            <w:tcW w:w="1099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18%</w:t>
            </w:r>
          </w:p>
        </w:tc>
        <w:tc>
          <w:tcPr>
            <w:tcW w:w="1134" w:type="dxa"/>
          </w:tcPr>
          <w:p w:rsidR="00DB0BB4" w:rsidRPr="00DB0BB4" w:rsidDel="002835B9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</w:tr>
      <w:tr w:rsidR="00DB0BB4" w:rsidRPr="00DB0BB4" w:rsidTr="00DB0BB4">
        <w:tc>
          <w:tcPr>
            <w:tcW w:w="3545" w:type="dxa"/>
          </w:tcPr>
          <w:p w:rsidR="00DB0BB4" w:rsidRPr="00DB0BB4" w:rsidRDefault="00DB0BB4" w:rsidP="00DB0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Pneumonia</w:t>
            </w:r>
          </w:p>
        </w:tc>
        <w:tc>
          <w:tcPr>
            <w:tcW w:w="1099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  <w:tc>
          <w:tcPr>
            <w:tcW w:w="1134" w:type="dxa"/>
          </w:tcPr>
          <w:p w:rsidR="00DB0BB4" w:rsidRPr="00DB0BB4" w:rsidDel="002835B9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20%</w:t>
            </w:r>
          </w:p>
        </w:tc>
      </w:tr>
      <w:tr w:rsidR="00DB0BB4" w:rsidRPr="00DB0BB4" w:rsidTr="00DB0BB4">
        <w:tc>
          <w:tcPr>
            <w:tcW w:w="3545" w:type="dxa"/>
          </w:tcPr>
          <w:p w:rsidR="00DB0BB4" w:rsidRPr="00DB0BB4" w:rsidDel="002835B9" w:rsidRDefault="00DB0BB4" w:rsidP="00DB0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Chest/Respiratory Infection</w:t>
            </w:r>
          </w:p>
        </w:tc>
        <w:tc>
          <w:tcPr>
            <w:tcW w:w="1099" w:type="dxa"/>
          </w:tcPr>
          <w:p w:rsidR="00DB0BB4" w:rsidRPr="00DB0BB4" w:rsidDel="002835B9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4%</w:t>
            </w:r>
          </w:p>
        </w:tc>
        <w:tc>
          <w:tcPr>
            <w:tcW w:w="1134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DB0BB4" w:rsidRPr="00DB0BB4" w:rsidTr="00DB0BB4">
        <w:tc>
          <w:tcPr>
            <w:tcW w:w="3545" w:type="dxa"/>
          </w:tcPr>
          <w:p w:rsidR="00DB0BB4" w:rsidRPr="00DB0BB4" w:rsidRDefault="00DB0BB4" w:rsidP="00DB0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COVID-19 Suspected/Confirmed</w:t>
            </w:r>
          </w:p>
        </w:tc>
        <w:tc>
          <w:tcPr>
            <w:tcW w:w="1099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8%</w:t>
            </w:r>
          </w:p>
        </w:tc>
        <w:tc>
          <w:tcPr>
            <w:tcW w:w="1134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DB0BB4" w:rsidRPr="00DB0BB4" w:rsidTr="00DB0BB4">
        <w:tc>
          <w:tcPr>
            <w:tcW w:w="3545" w:type="dxa"/>
          </w:tcPr>
          <w:p w:rsidR="00DB0BB4" w:rsidRPr="00DB0BB4" w:rsidRDefault="00DB0BB4" w:rsidP="00DB0B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Total %</w:t>
            </w:r>
          </w:p>
        </w:tc>
        <w:tc>
          <w:tcPr>
            <w:tcW w:w="1099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42%</w:t>
            </w:r>
          </w:p>
        </w:tc>
        <w:tc>
          <w:tcPr>
            <w:tcW w:w="1134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BB4">
              <w:rPr>
                <w:rFonts w:ascii="Arial" w:hAnsi="Arial" w:cs="Arial"/>
                <w:b/>
                <w:sz w:val="20"/>
                <w:szCs w:val="20"/>
              </w:rPr>
              <w:t>32%</w:t>
            </w:r>
          </w:p>
        </w:tc>
      </w:tr>
    </w:tbl>
    <w:p w:rsidR="009E296B" w:rsidRDefault="009E296B" w:rsidP="00864B59">
      <w:pPr>
        <w:spacing w:line="240" w:lineRule="auto"/>
        <w:rPr>
          <w:rFonts w:ascii="Arial" w:hAnsi="Arial" w:cs="Arial"/>
          <w:b/>
        </w:rPr>
      </w:pPr>
    </w:p>
    <w:p w:rsidR="00A31AEF" w:rsidRDefault="00A31AEF" w:rsidP="00864B59">
      <w:pPr>
        <w:spacing w:line="240" w:lineRule="auto"/>
        <w:rPr>
          <w:rFonts w:ascii="Arial" w:hAnsi="Arial" w:cs="Arial"/>
          <w:b/>
        </w:rPr>
      </w:pPr>
    </w:p>
    <w:p w:rsidR="00695F20" w:rsidRDefault="00695F20" w:rsidP="00864B59">
      <w:pPr>
        <w:spacing w:line="240" w:lineRule="auto"/>
        <w:rPr>
          <w:rFonts w:ascii="Arial" w:hAnsi="Arial" w:cs="Arial"/>
          <w:b/>
        </w:rPr>
      </w:pPr>
    </w:p>
    <w:p w:rsidR="00A31AEF" w:rsidRDefault="00A31AEF" w:rsidP="00864B59">
      <w:pPr>
        <w:spacing w:line="240" w:lineRule="auto"/>
        <w:rPr>
          <w:rFonts w:ascii="Arial" w:hAnsi="Arial" w:cs="Arial"/>
          <w:b/>
        </w:rPr>
      </w:pPr>
    </w:p>
    <w:p w:rsidR="00E54780" w:rsidRDefault="00E54780" w:rsidP="00864B5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417"/>
      </w:tblGrid>
      <w:tr w:rsidR="00DB0BB4" w:rsidRPr="00DB0BB4" w:rsidTr="00DB0BB4">
        <w:tc>
          <w:tcPr>
            <w:tcW w:w="3227" w:type="dxa"/>
          </w:tcPr>
          <w:p w:rsidR="00DB0BB4" w:rsidRPr="00DB0BB4" w:rsidRDefault="00DB0BB4" w:rsidP="008E2C60">
            <w:pPr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Respiratory related deaths</w:t>
            </w:r>
          </w:p>
        </w:tc>
        <w:tc>
          <w:tcPr>
            <w:tcW w:w="1134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2020 (Jan-Oct)</w:t>
            </w:r>
          </w:p>
        </w:tc>
        <w:tc>
          <w:tcPr>
            <w:tcW w:w="1417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2019</w:t>
            </w:r>
          </w:p>
        </w:tc>
      </w:tr>
      <w:tr w:rsidR="00DB0BB4" w:rsidRPr="00DB0BB4" w:rsidTr="00DB0BB4">
        <w:tc>
          <w:tcPr>
            <w:tcW w:w="3227" w:type="dxa"/>
          </w:tcPr>
          <w:p w:rsidR="00DB0BB4" w:rsidRPr="00DB0BB4" w:rsidRDefault="00DB0BB4" w:rsidP="008E2C60">
            <w:pPr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Main cause (1a)</w:t>
            </w:r>
          </w:p>
        </w:tc>
        <w:tc>
          <w:tcPr>
            <w:tcW w:w="1134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417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10</w:t>
            </w:r>
          </w:p>
        </w:tc>
      </w:tr>
      <w:tr w:rsidR="00DB0BB4" w:rsidRPr="00DB0BB4" w:rsidTr="00DB0BB4">
        <w:tc>
          <w:tcPr>
            <w:tcW w:w="3227" w:type="dxa"/>
          </w:tcPr>
          <w:p w:rsidR="00DB0BB4" w:rsidRPr="00DB0BB4" w:rsidRDefault="00DB0BB4" w:rsidP="008E2C60">
            <w:pPr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Contributing (1b,c)</w:t>
            </w:r>
          </w:p>
        </w:tc>
        <w:tc>
          <w:tcPr>
            <w:tcW w:w="1134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417" w:type="dxa"/>
          </w:tcPr>
          <w:p w:rsidR="00DB0BB4" w:rsidRPr="00DB0BB4" w:rsidRDefault="00DB0BB4" w:rsidP="00DB0BB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0BB4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864B59" w:rsidRDefault="00864B59" w:rsidP="00864B59">
      <w:pPr>
        <w:spacing w:line="240" w:lineRule="auto"/>
        <w:rPr>
          <w:rFonts w:ascii="Arial" w:hAnsi="Arial" w:cs="Arial"/>
          <w:sz w:val="24"/>
          <w:szCs w:val="24"/>
        </w:rPr>
      </w:pPr>
    </w:p>
    <w:p w:rsidR="00EE122A" w:rsidRDefault="00455371" w:rsidP="00F16053">
      <w:pPr>
        <w:spacing w:line="240" w:lineRule="auto"/>
        <w:rPr>
          <w:rFonts w:ascii="Arial" w:hAnsi="Arial" w:cs="Arial"/>
          <w:sz w:val="24"/>
          <w:szCs w:val="24"/>
        </w:rPr>
      </w:pPr>
      <w:r w:rsidRPr="00455371">
        <w:rPr>
          <w:rFonts w:ascii="Arial" w:hAnsi="Arial" w:cs="Arial"/>
          <w:sz w:val="24"/>
          <w:szCs w:val="24"/>
        </w:rPr>
        <w:t xml:space="preserve">Somerset Foundation Trust Learning Disability services are </w:t>
      </w:r>
      <w:r>
        <w:rPr>
          <w:rFonts w:ascii="Arial" w:hAnsi="Arial" w:cs="Arial"/>
          <w:sz w:val="24"/>
          <w:szCs w:val="24"/>
        </w:rPr>
        <w:t xml:space="preserve">using data </w:t>
      </w:r>
      <w:r w:rsidRPr="00455371">
        <w:rPr>
          <w:rFonts w:ascii="Arial" w:hAnsi="Arial" w:cs="Arial"/>
          <w:sz w:val="24"/>
          <w:szCs w:val="24"/>
        </w:rPr>
        <w:t>to identify those most vulnerable</w:t>
      </w:r>
      <w:r w:rsidR="00F16053">
        <w:rPr>
          <w:rFonts w:ascii="Arial" w:hAnsi="Arial" w:cs="Arial"/>
          <w:sz w:val="24"/>
          <w:szCs w:val="24"/>
        </w:rPr>
        <w:t xml:space="preserve"> and </w:t>
      </w:r>
      <w:r w:rsidR="00F16053" w:rsidRPr="00F16053">
        <w:rPr>
          <w:rFonts w:ascii="Arial" w:hAnsi="Arial" w:cs="Arial"/>
          <w:sz w:val="24"/>
          <w:szCs w:val="24"/>
        </w:rPr>
        <w:t xml:space="preserve">are planning to give additional focussed support for people during winter and the pandemic. </w:t>
      </w:r>
    </w:p>
    <w:p w:rsidR="00F16053" w:rsidRDefault="00F16053" w:rsidP="00F16053">
      <w:pPr>
        <w:spacing w:line="240" w:lineRule="auto"/>
        <w:rPr>
          <w:rFonts w:ascii="Arial" w:hAnsi="Arial" w:cs="Arial"/>
          <w:sz w:val="24"/>
          <w:szCs w:val="24"/>
        </w:rPr>
      </w:pPr>
      <w:r w:rsidRPr="00F16053">
        <w:rPr>
          <w:rFonts w:ascii="Arial" w:hAnsi="Arial" w:cs="Arial"/>
          <w:sz w:val="24"/>
          <w:szCs w:val="24"/>
        </w:rPr>
        <w:t xml:space="preserve">Referrals to the LD Specialist Health Team can be of great benefit to improving outcomes for patients who need additional care and support. Referrals can be made using the </w:t>
      </w:r>
      <w:hyperlink r:id="rId13" w:history="1">
        <w:r w:rsidRPr="00DB0BB4">
          <w:rPr>
            <w:rStyle w:val="Hyperlink"/>
            <w:rFonts w:ascii="Arial" w:hAnsi="Arial" w:cs="Arial"/>
            <w:sz w:val="24"/>
            <w:szCs w:val="24"/>
          </w:rPr>
          <w:t>referral form</w:t>
        </w:r>
      </w:hyperlink>
      <w:r w:rsidRPr="00F16053">
        <w:rPr>
          <w:rFonts w:ascii="Arial" w:hAnsi="Arial" w:cs="Arial"/>
          <w:sz w:val="24"/>
          <w:szCs w:val="24"/>
        </w:rPr>
        <w:t xml:space="preserve"> on </w:t>
      </w:r>
      <w:hyperlink r:id="rId14" w:history="1">
        <w:r w:rsidR="00DB0BB4" w:rsidRPr="00DB0BB4">
          <w:rPr>
            <w:rStyle w:val="Hyperlink"/>
            <w:rFonts w:ascii="Arial" w:hAnsi="Arial" w:cs="Arial"/>
          </w:rPr>
          <w:t>e-Templates</w:t>
        </w:r>
      </w:hyperlink>
      <w:r w:rsidRPr="00F16053">
        <w:rPr>
          <w:rFonts w:ascii="Arial" w:hAnsi="Arial" w:cs="Arial"/>
          <w:sz w:val="24"/>
          <w:szCs w:val="24"/>
        </w:rPr>
        <w:t xml:space="preserve"> a copy of the updated form can be found attached.  There is also a Learning Disability Register Inclusion tool to support GP in identifying a person in this vulnerable group.</w:t>
      </w:r>
    </w:p>
    <w:p w:rsidR="00EE122A" w:rsidRPr="00F16053" w:rsidRDefault="00EE122A" w:rsidP="00F16053">
      <w:pPr>
        <w:spacing w:line="240" w:lineRule="auto"/>
        <w:rPr>
          <w:rFonts w:ascii="Arial" w:hAnsi="Arial" w:cs="Arial"/>
          <w:sz w:val="24"/>
          <w:szCs w:val="24"/>
        </w:rPr>
      </w:pPr>
    </w:p>
    <w:p w:rsidR="00455371" w:rsidRPr="00455371" w:rsidRDefault="00F16053" w:rsidP="00EE122A">
      <w:pPr>
        <w:spacing w:line="240" w:lineRule="auto"/>
        <w:rPr>
          <w:rFonts w:ascii="Arial" w:hAnsi="Arial" w:cs="Arial"/>
          <w:sz w:val="24"/>
          <w:szCs w:val="24"/>
        </w:rPr>
      </w:pPr>
      <w:r w:rsidRPr="00F16053">
        <w:rPr>
          <w:rFonts w:ascii="Arial" w:hAnsi="Arial" w:cs="Arial"/>
          <w:sz w:val="24"/>
          <w:szCs w:val="24"/>
        </w:rPr>
        <w:t xml:space="preserve">  </w:t>
      </w:r>
      <w:bookmarkStart w:id="0" w:name="_MON_1667384161"/>
      <w:bookmarkEnd w:id="0"/>
      <w:r w:rsidR="00FC2B10">
        <w:rPr>
          <w:rFonts w:ascii="Arial" w:hAnsi="Arial" w:cs="Arial"/>
          <w:b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15" o:title=""/>
          </v:shape>
          <o:OLEObject Type="Embed" ProgID="Word.Document.12" ShapeID="_x0000_i1025" DrawAspect="Icon" ObjectID="_1671538623" r:id="rId16">
            <o:FieldCodes>\s</o:FieldCodes>
          </o:OLEObject>
        </w:object>
      </w:r>
      <w:r w:rsidR="00FC2B10">
        <w:rPr>
          <w:rFonts w:ascii="Arial" w:hAnsi="Arial" w:cs="Arial"/>
          <w:b/>
        </w:rPr>
        <w:t xml:space="preserve">     </w:t>
      </w:r>
      <w:bookmarkStart w:id="1" w:name="_GoBack"/>
      <w:r w:rsidR="00974976">
        <w:rPr>
          <w:rFonts w:ascii="Arial" w:hAnsi="Arial" w:cs="Arial"/>
          <w:b/>
        </w:rPr>
        <w:object w:dxaOrig="1311" w:dyaOrig="849">
          <v:shape id="_x0000_i1028" type="#_x0000_t75" style="width:65.75pt;height:42.55pt" o:ole="">
            <v:imagedata r:id="rId17" o:title=""/>
          </v:shape>
          <o:OLEObject Type="Embed" ProgID="AcroExch.Document.DC" ShapeID="_x0000_i1028" DrawAspect="Icon" ObjectID="_1671538624" r:id="rId18"/>
        </w:object>
      </w:r>
      <w:bookmarkEnd w:id="1"/>
    </w:p>
    <w:p w:rsidR="00FC2B10" w:rsidRDefault="00FC2B10" w:rsidP="00864B59">
      <w:pPr>
        <w:jc w:val="center"/>
        <w:rPr>
          <w:rFonts w:ascii="Arial" w:hAnsi="Arial" w:cs="Arial"/>
          <w:b/>
          <w:sz w:val="24"/>
          <w:szCs w:val="24"/>
        </w:rPr>
      </w:pPr>
    </w:p>
    <w:p w:rsidR="005361C5" w:rsidRDefault="00E54780" w:rsidP="00864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NHS report </w:t>
      </w:r>
      <w:r w:rsidR="00261104">
        <w:rPr>
          <w:rFonts w:ascii="Arial" w:hAnsi="Arial" w:cs="Arial"/>
          <w:b/>
          <w:sz w:val="24"/>
          <w:szCs w:val="24"/>
        </w:rPr>
        <w:t xml:space="preserve"> </w:t>
      </w:r>
    </w:p>
    <w:p w:rsidR="00E54780" w:rsidRDefault="00E54780" w:rsidP="005361C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LeDeR</w:t>
      </w:r>
      <w:proofErr w:type="spellEnd"/>
      <w:r w:rsidR="00864B59">
        <w:rPr>
          <w:rFonts w:ascii="Arial" w:hAnsi="Arial" w:cs="Arial"/>
          <w:b/>
          <w:sz w:val="24"/>
          <w:szCs w:val="24"/>
        </w:rPr>
        <w:t xml:space="preserve"> </w:t>
      </w:r>
      <w:r w:rsidRPr="00E54780">
        <w:rPr>
          <w:rFonts w:ascii="Arial" w:hAnsi="Arial" w:cs="Arial"/>
          <w:b/>
          <w:sz w:val="24"/>
          <w:szCs w:val="24"/>
        </w:rPr>
        <w:t xml:space="preserve">Action from </w:t>
      </w:r>
      <w:r w:rsidR="005361C5">
        <w:rPr>
          <w:rFonts w:ascii="Arial" w:hAnsi="Arial" w:cs="Arial"/>
          <w:b/>
          <w:sz w:val="24"/>
          <w:szCs w:val="24"/>
        </w:rPr>
        <w:t>L</w:t>
      </w:r>
      <w:r w:rsidRPr="00E54780">
        <w:rPr>
          <w:rFonts w:ascii="Arial" w:hAnsi="Arial" w:cs="Arial"/>
          <w:b/>
          <w:sz w:val="24"/>
          <w:szCs w:val="24"/>
        </w:rPr>
        <w:t>earning: deaths of people with a learning disability from COVID-19</w:t>
      </w:r>
    </w:p>
    <w:p w:rsidR="007100C0" w:rsidRDefault="00710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report, which you are likely familiar with outlines actions the </w:t>
      </w:r>
      <w:proofErr w:type="gramStart"/>
      <w:r>
        <w:rPr>
          <w:rFonts w:ascii="Arial" w:hAnsi="Arial" w:cs="Arial"/>
          <w:sz w:val="24"/>
          <w:szCs w:val="24"/>
        </w:rPr>
        <w:t>NHS</w:t>
      </w:r>
      <w:proofErr w:type="gramEnd"/>
      <w:r>
        <w:rPr>
          <w:rFonts w:ascii="Arial" w:hAnsi="Arial" w:cs="Arial"/>
          <w:sz w:val="24"/>
          <w:szCs w:val="24"/>
        </w:rPr>
        <w:t xml:space="preserve"> is putting in place across the system to maximise learning. </w:t>
      </w:r>
    </w:p>
    <w:p w:rsidR="00E54780" w:rsidRDefault="007100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area of focus asks </w:t>
      </w:r>
      <w:r w:rsidR="00E54780" w:rsidRPr="00E54780">
        <w:rPr>
          <w:rFonts w:ascii="Arial" w:hAnsi="Arial" w:cs="Arial"/>
          <w:sz w:val="24"/>
          <w:szCs w:val="24"/>
        </w:rPr>
        <w:t xml:space="preserve">GP practices across England </w:t>
      </w:r>
      <w:r>
        <w:rPr>
          <w:rFonts w:ascii="Arial" w:hAnsi="Arial" w:cs="Arial"/>
          <w:sz w:val="24"/>
          <w:szCs w:val="24"/>
        </w:rPr>
        <w:t xml:space="preserve">to </w:t>
      </w:r>
      <w:r w:rsidR="00E54780" w:rsidRPr="00E54780">
        <w:rPr>
          <w:rFonts w:ascii="Arial" w:hAnsi="Arial" w:cs="Arial"/>
          <w:sz w:val="24"/>
          <w:szCs w:val="24"/>
        </w:rPr>
        <w:t>use their clinical judgement to determine who, on their GP register, should be considered at a higher risk of serious illness from COVID-19 and to take appropriate action to advise those individuals and their carers (as appropriate) of the need to take additional precautions.</w:t>
      </w:r>
    </w:p>
    <w:p w:rsidR="00455371" w:rsidRDefault="00536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55371" w:rsidRPr="00455371">
        <w:rPr>
          <w:rFonts w:ascii="Arial" w:hAnsi="Arial" w:cs="Arial"/>
          <w:sz w:val="24"/>
          <w:szCs w:val="24"/>
        </w:rPr>
        <w:t xml:space="preserve">isk of diagnostic overshadowing </w:t>
      </w:r>
      <w:r>
        <w:rPr>
          <w:rFonts w:ascii="Arial" w:hAnsi="Arial" w:cs="Arial"/>
          <w:sz w:val="24"/>
          <w:szCs w:val="24"/>
        </w:rPr>
        <w:t xml:space="preserve">is highlighted, as </w:t>
      </w:r>
      <w:r w:rsidR="00455371" w:rsidRPr="00455371">
        <w:rPr>
          <w:rFonts w:ascii="Arial" w:hAnsi="Arial" w:cs="Arial"/>
          <w:sz w:val="24"/>
          <w:szCs w:val="24"/>
        </w:rPr>
        <w:t>the presentation of people with a learning disability with COVID-19, or another condition which causes health to rapidly deteriorate may be different to the general population</w:t>
      </w:r>
      <w:r>
        <w:rPr>
          <w:rFonts w:ascii="Arial" w:hAnsi="Arial" w:cs="Arial"/>
          <w:sz w:val="24"/>
          <w:szCs w:val="24"/>
        </w:rPr>
        <w:t>, considering this will help ensure opportunities are not missed in provision of appropriate and timely health care.</w:t>
      </w:r>
    </w:p>
    <w:p w:rsidR="007100C0" w:rsidRPr="00E54780" w:rsidRDefault="007100C0">
      <w:pPr>
        <w:rPr>
          <w:rFonts w:ascii="Arial" w:hAnsi="Arial" w:cs="Arial"/>
          <w:sz w:val="24"/>
          <w:szCs w:val="24"/>
        </w:rPr>
      </w:pPr>
    </w:p>
    <w:p w:rsidR="00A31AEF" w:rsidRPr="00A31AEF" w:rsidRDefault="00A31AEF">
      <w:pPr>
        <w:rPr>
          <w:rFonts w:ascii="Arial" w:hAnsi="Arial" w:cs="Arial"/>
          <w:b/>
          <w:sz w:val="24"/>
          <w:szCs w:val="24"/>
        </w:rPr>
      </w:pPr>
      <w:r w:rsidRPr="00A31AEF">
        <w:rPr>
          <w:rFonts w:ascii="Arial" w:hAnsi="Arial" w:cs="Arial"/>
          <w:b/>
          <w:sz w:val="24"/>
          <w:szCs w:val="24"/>
        </w:rPr>
        <w:t>Annual Health Checks</w:t>
      </w:r>
      <w:r w:rsidR="00455371">
        <w:rPr>
          <w:rFonts w:ascii="Arial" w:hAnsi="Arial" w:cs="Arial"/>
          <w:b/>
          <w:sz w:val="24"/>
          <w:szCs w:val="24"/>
        </w:rPr>
        <w:t xml:space="preserve"> in Somerset</w:t>
      </w:r>
    </w:p>
    <w:p w:rsidR="00A31AEF" w:rsidRDefault="0069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Recently </w:t>
      </w:r>
      <w:r w:rsidR="00A31AEF" w:rsidRPr="00695F20">
        <w:rPr>
          <w:rFonts w:ascii="Arial" w:hAnsi="Arial" w:cs="Arial"/>
        </w:rPr>
        <w:t xml:space="preserve">the CCG circulated a suite of documents including a guide for </w:t>
      </w:r>
      <w:r w:rsidR="00B27797" w:rsidRPr="00695F20">
        <w:rPr>
          <w:rFonts w:ascii="Arial" w:hAnsi="Arial" w:cs="Arial"/>
        </w:rPr>
        <w:t>practices</w:t>
      </w:r>
      <w:r>
        <w:rPr>
          <w:rFonts w:ascii="Arial" w:hAnsi="Arial" w:cs="Arial"/>
        </w:rPr>
        <w:t xml:space="preserve"> on Annual Health Checks</w:t>
      </w:r>
      <w:r w:rsidR="00261104">
        <w:rPr>
          <w:rFonts w:ascii="Arial" w:hAnsi="Arial" w:cs="Arial"/>
        </w:rPr>
        <w:t>.</w:t>
      </w:r>
      <w:r w:rsidR="0056079E" w:rsidRPr="00695F20">
        <w:rPr>
          <w:rFonts w:ascii="Arial" w:hAnsi="Arial" w:cs="Arial"/>
        </w:rPr>
        <w:t xml:space="preserve"> </w:t>
      </w:r>
    </w:p>
    <w:p w:rsidR="007100C0" w:rsidRDefault="00864B59" w:rsidP="00710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="007100C0">
        <w:rPr>
          <w:rFonts w:ascii="Arial" w:hAnsi="Arial" w:cs="Arial"/>
        </w:rPr>
        <w:t>LeDeR</w:t>
      </w:r>
      <w:proofErr w:type="spellEnd"/>
      <w:r w:rsidR="007100C0">
        <w:rPr>
          <w:rFonts w:ascii="Arial" w:hAnsi="Arial" w:cs="Arial"/>
        </w:rPr>
        <w:t xml:space="preserve"> report on deaths </w:t>
      </w:r>
      <w:r w:rsidR="00455371">
        <w:rPr>
          <w:rFonts w:ascii="Arial" w:hAnsi="Arial" w:cs="Arial"/>
        </w:rPr>
        <w:t>highlights the importance of Annual Health Checks</w:t>
      </w:r>
      <w:r>
        <w:rPr>
          <w:rFonts w:ascii="Arial" w:hAnsi="Arial" w:cs="Arial"/>
        </w:rPr>
        <w:t>, which we are emphasising again. R</w:t>
      </w:r>
      <w:r w:rsidR="00455371">
        <w:rPr>
          <w:rFonts w:ascii="Arial" w:hAnsi="Arial" w:cs="Arial"/>
        </w:rPr>
        <w:t>ecommendations</w:t>
      </w:r>
      <w:r>
        <w:rPr>
          <w:rFonts w:ascii="Arial" w:hAnsi="Arial" w:cs="Arial"/>
        </w:rPr>
        <w:t xml:space="preserve"> from the report </w:t>
      </w:r>
      <w:r w:rsidR="00455371">
        <w:rPr>
          <w:rFonts w:ascii="Arial" w:hAnsi="Arial" w:cs="Arial"/>
        </w:rPr>
        <w:t xml:space="preserve">include the following: </w:t>
      </w:r>
    </w:p>
    <w:p w:rsidR="007100C0" w:rsidRPr="00455371" w:rsidRDefault="007100C0" w:rsidP="007100C0">
      <w:pPr>
        <w:rPr>
          <w:rFonts w:ascii="Arial" w:hAnsi="Arial" w:cs="Arial"/>
        </w:rPr>
      </w:pPr>
      <w:r w:rsidRPr="00455371">
        <w:rPr>
          <w:rFonts w:ascii="Arial" w:hAnsi="Arial" w:cs="Arial"/>
        </w:rPr>
        <w:t>‘Annual health check needs to note all health issues and their management and be linked to a health action plan'.</w:t>
      </w:r>
    </w:p>
    <w:p w:rsidR="008B39B3" w:rsidRPr="00455371" w:rsidRDefault="007100C0" w:rsidP="007100C0">
      <w:pPr>
        <w:rPr>
          <w:rFonts w:ascii="Arial" w:hAnsi="Arial" w:cs="Arial"/>
        </w:rPr>
      </w:pPr>
      <w:r w:rsidRPr="00455371">
        <w:rPr>
          <w:rFonts w:ascii="Arial" w:hAnsi="Arial" w:cs="Arial"/>
        </w:rPr>
        <w:t>‘Ensure that GP practices use correct coding for patients with learning disabilities to ensure they are on the practice Learning Disability register and can therefore be easily identified’.</w:t>
      </w:r>
    </w:p>
    <w:p w:rsidR="00864B59" w:rsidRDefault="00864B59">
      <w:pPr>
        <w:rPr>
          <w:rFonts w:ascii="Arial" w:hAnsi="Arial" w:cs="Arial"/>
          <w:b/>
        </w:rPr>
      </w:pPr>
    </w:p>
    <w:p w:rsidR="007100C0" w:rsidRPr="00455371" w:rsidRDefault="00455371">
      <w:pPr>
        <w:rPr>
          <w:rFonts w:ascii="Arial" w:hAnsi="Arial" w:cs="Arial"/>
        </w:rPr>
      </w:pPr>
      <w:r w:rsidRPr="00455371">
        <w:rPr>
          <w:rFonts w:ascii="Arial" w:hAnsi="Arial" w:cs="Arial"/>
        </w:rPr>
        <w:t>We hope the information and data provided here along with the previous guidance will assist you in prioritising people with learning disabilities who are most vulnerable to Covid-19 and ensure that an Annual Health Check is completed to further identify needs and consider any additional support that is required</w:t>
      </w:r>
      <w:r w:rsidR="005245C5">
        <w:rPr>
          <w:rFonts w:ascii="Arial" w:hAnsi="Arial" w:cs="Arial"/>
        </w:rPr>
        <w:t>.</w:t>
      </w:r>
    </w:p>
    <w:p w:rsidR="00864B59" w:rsidRDefault="00864B59">
      <w:pPr>
        <w:rPr>
          <w:rFonts w:ascii="Arial" w:hAnsi="Arial" w:cs="Arial"/>
          <w:b/>
        </w:rPr>
      </w:pPr>
    </w:p>
    <w:p w:rsidR="00B27797" w:rsidRDefault="00CC6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References:</w:t>
      </w:r>
    </w:p>
    <w:p w:rsidR="00CC6B96" w:rsidRPr="00455371" w:rsidRDefault="00CC6B96">
      <w:pPr>
        <w:rPr>
          <w:rFonts w:ascii="Arial" w:hAnsi="Arial" w:cs="Arial"/>
        </w:rPr>
      </w:pPr>
      <w:r w:rsidRPr="00455371">
        <w:rPr>
          <w:rFonts w:ascii="Arial" w:hAnsi="Arial" w:cs="Arial"/>
        </w:rPr>
        <w:t>PHE report</w:t>
      </w:r>
      <w:r w:rsidR="00864B59">
        <w:rPr>
          <w:rFonts w:ascii="Arial" w:hAnsi="Arial" w:cs="Arial"/>
        </w:rPr>
        <w:t xml:space="preserve"> </w:t>
      </w:r>
      <w:hyperlink r:id="rId19" w:history="1">
        <w:r w:rsidR="00864B59" w:rsidRPr="00C64DFB">
          <w:rPr>
            <w:rStyle w:val="Hyperlink"/>
            <w:rFonts w:ascii="Arial" w:hAnsi="Arial" w:cs="Arial"/>
          </w:rPr>
          <w:t>https://www.gov.uk/government/publications/covid-19-deaths-of-people-with-learning-disabilities</w:t>
        </w:r>
      </w:hyperlink>
      <w:r w:rsidR="00864B59">
        <w:rPr>
          <w:rFonts w:ascii="Arial" w:hAnsi="Arial" w:cs="Arial"/>
        </w:rPr>
        <w:t xml:space="preserve"> </w:t>
      </w:r>
    </w:p>
    <w:p w:rsidR="00CC6B96" w:rsidRPr="00455371" w:rsidRDefault="00CC6B96">
      <w:pPr>
        <w:rPr>
          <w:rFonts w:ascii="Arial" w:hAnsi="Arial" w:cs="Arial"/>
        </w:rPr>
      </w:pPr>
      <w:proofErr w:type="spellStart"/>
      <w:r w:rsidRPr="00455371">
        <w:rPr>
          <w:rFonts w:ascii="Arial" w:hAnsi="Arial" w:cs="Arial"/>
        </w:rPr>
        <w:t>LeDeR</w:t>
      </w:r>
      <w:proofErr w:type="spellEnd"/>
      <w:r w:rsidRPr="00455371">
        <w:rPr>
          <w:rFonts w:ascii="Arial" w:hAnsi="Arial" w:cs="Arial"/>
        </w:rPr>
        <w:t xml:space="preserve"> report </w:t>
      </w:r>
      <w:hyperlink r:id="rId20" w:history="1">
        <w:r w:rsidRPr="00455371">
          <w:rPr>
            <w:rStyle w:val="Hyperlink"/>
            <w:rFonts w:ascii="Arial" w:hAnsi="Arial" w:cs="Arial"/>
          </w:rPr>
          <w:t>http://www.bristol.ac.uk/sps/leder/news/2020/leder-covid-19-reviews.html</w:t>
        </w:r>
      </w:hyperlink>
      <w:r w:rsidRPr="00455371">
        <w:rPr>
          <w:rFonts w:ascii="Arial" w:hAnsi="Arial" w:cs="Arial"/>
        </w:rPr>
        <w:t xml:space="preserve"> </w:t>
      </w:r>
    </w:p>
    <w:p w:rsidR="00CC6B96" w:rsidRPr="00455371" w:rsidRDefault="00CC6B96">
      <w:pPr>
        <w:rPr>
          <w:rFonts w:ascii="Arial" w:hAnsi="Arial" w:cs="Arial"/>
        </w:rPr>
      </w:pPr>
      <w:r w:rsidRPr="00455371">
        <w:rPr>
          <w:rFonts w:ascii="Arial" w:hAnsi="Arial" w:cs="Arial"/>
        </w:rPr>
        <w:t xml:space="preserve">NHS Learning Action </w:t>
      </w:r>
      <w:proofErr w:type="gramStart"/>
      <w:r w:rsidRPr="00455371">
        <w:rPr>
          <w:rFonts w:ascii="Arial" w:hAnsi="Arial" w:cs="Arial"/>
        </w:rPr>
        <w:t>From</w:t>
      </w:r>
      <w:proofErr w:type="gramEnd"/>
      <w:r w:rsidRPr="00455371">
        <w:rPr>
          <w:rFonts w:ascii="Arial" w:hAnsi="Arial" w:cs="Arial"/>
        </w:rPr>
        <w:t xml:space="preserve"> Learning (from </w:t>
      </w:r>
      <w:proofErr w:type="spellStart"/>
      <w:r w:rsidRPr="00455371">
        <w:rPr>
          <w:rFonts w:ascii="Arial" w:hAnsi="Arial" w:cs="Arial"/>
        </w:rPr>
        <w:t>LeDeR</w:t>
      </w:r>
      <w:proofErr w:type="spellEnd"/>
      <w:r w:rsidRPr="00455371">
        <w:rPr>
          <w:rFonts w:ascii="Arial" w:hAnsi="Arial" w:cs="Arial"/>
        </w:rPr>
        <w:t xml:space="preserve"> report)</w:t>
      </w:r>
      <w:r w:rsidRPr="00455371">
        <w:t xml:space="preserve"> </w:t>
      </w:r>
      <w:hyperlink r:id="rId21" w:history="1">
        <w:r w:rsidRPr="00455371">
          <w:rPr>
            <w:rStyle w:val="Hyperlink"/>
            <w:rFonts w:ascii="Arial" w:hAnsi="Arial" w:cs="Arial"/>
          </w:rPr>
          <w:t>https://www.england.nhs.uk/wp-content/uploads/2020/11/C0843-Covid-LeDeR-report-131120.pdf</w:t>
        </w:r>
      </w:hyperlink>
      <w:r w:rsidRPr="00455371">
        <w:rPr>
          <w:rFonts w:ascii="Arial" w:hAnsi="Arial" w:cs="Arial"/>
        </w:rPr>
        <w:t xml:space="preserve"> </w:t>
      </w:r>
    </w:p>
    <w:p w:rsidR="00CC6B96" w:rsidRPr="00455371" w:rsidRDefault="00CC6B96">
      <w:pPr>
        <w:rPr>
          <w:rFonts w:ascii="Arial" w:hAnsi="Arial" w:cs="Arial"/>
        </w:rPr>
      </w:pPr>
    </w:p>
    <w:sectPr w:rsidR="00CC6B96" w:rsidRPr="00455371" w:rsidSect="0035298F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67" w:rsidRDefault="00971467" w:rsidP="00C107FA">
      <w:pPr>
        <w:spacing w:after="0" w:line="240" w:lineRule="auto"/>
      </w:pPr>
      <w:r>
        <w:separator/>
      </w:r>
    </w:p>
  </w:endnote>
  <w:endnote w:type="continuationSeparator" w:id="0">
    <w:p w:rsidR="00971467" w:rsidRDefault="00971467" w:rsidP="00C1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296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07FA" w:rsidRDefault="00C107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07FA" w:rsidRDefault="00C10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67" w:rsidRDefault="00971467" w:rsidP="00C107FA">
      <w:pPr>
        <w:spacing w:after="0" w:line="240" w:lineRule="auto"/>
      </w:pPr>
      <w:r>
        <w:separator/>
      </w:r>
    </w:p>
  </w:footnote>
  <w:footnote w:type="continuationSeparator" w:id="0">
    <w:p w:rsidR="00971467" w:rsidRDefault="00971467" w:rsidP="00C1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AE8"/>
    <w:multiLevelType w:val="hybridMultilevel"/>
    <w:tmpl w:val="8DAA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779E5"/>
    <w:multiLevelType w:val="hybridMultilevel"/>
    <w:tmpl w:val="3F307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103F"/>
    <w:multiLevelType w:val="hybridMultilevel"/>
    <w:tmpl w:val="6330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616D"/>
    <w:multiLevelType w:val="hybridMultilevel"/>
    <w:tmpl w:val="60E6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722DF"/>
    <w:multiLevelType w:val="hybridMultilevel"/>
    <w:tmpl w:val="8F52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929B0"/>
    <w:multiLevelType w:val="hybridMultilevel"/>
    <w:tmpl w:val="CE504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4D6"/>
    <w:multiLevelType w:val="hybridMultilevel"/>
    <w:tmpl w:val="5158FFD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07D9E"/>
    <w:multiLevelType w:val="hybridMultilevel"/>
    <w:tmpl w:val="F640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D568E"/>
    <w:multiLevelType w:val="hybridMultilevel"/>
    <w:tmpl w:val="8B3C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27"/>
    <w:rsid w:val="00022B1B"/>
    <w:rsid w:val="00030AD1"/>
    <w:rsid w:val="000936A7"/>
    <w:rsid w:val="000A7131"/>
    <w:rsid w:val="000E3B14"/>
    <w:rsid w:val="000E470D"/>
    <w:rsid w:val="0011317F"/>
    <w:rsid w:val="00173666"/>
    <w:rsid w:val="00191327"/>
    <w:rsid w:val="0019172A"/>
    <w:rsid w:val="00197BB1"/>
    <w:rsid w:val="001A61BF"/>
    <w:rsid w:val="001F386E"/>
    <w:rsid w:val="001F71AF"/>
    <w:rsid w:val="00200690"/>
    <w:rsid w:val="00205AE4"/>
    <w:rsid w:val="002403C6"/>
    <w:rsid w:val="00261104"/>
    <w:rsid w:val="002909B4"/>
    <w:rsid w:val="00346AA4"/>
    <w:rsid w:val="0035298F"/>
    <w:rsid w:val="00355890"/>
    <w:rsid w:val="003A43BC"/>
    <w:rsid w:val="00411294"/>
    <w:rsid w:val="00412FE5"/>
    <w:rsid w:val="00455371"/>
    <w:rsid w:val="00472BCF"/>
    <w:rsid w:val="0049098F"/>
    <w:rsid w:val="004B3C54"/>
    <w:rsid w:val="00510A6D"/>
    <w:rsid w:val="005245C5"/>
    <w:rsid w:val="0052543D"/>
    <w:rsid w:val="005361C5"/>
    <w:rsid w:val="0056079E"/>
    <w:rsid w:val="00573747"/>
    <w:rsid w:val="00582C98"/>
    <w:rsid w:val="005846AB"/>
    <w:rsid w:val="00590337"/>
    <w:rsid w:val="005A595C"/>
    <w:rsid w:val="005B2307"/>
    <w:rsid w:val="005E0D03"/>
    <w:rsid w:val="00622A54"/>
    <w:rsid w:val="006301E1"/>
    <w:rsid w:val="00672CDA"/>
    <w:rsid w:val="00695F20"/>
    <w:rsid w:val="006A0569"/>
    <w:rsid w:val="006A0E8D"/>
    <w:rsid w:val="006A35D7"/>
    <w:rsid w:val="006C61F6"/>
    <w:rsid w:val="006E6B27"/>
    <w:rsid w:val="007100C0"/>
    <w:rsid w:val="007564FE"/>
    <w:rsid w:val="0075695E"/>
    <w:rsid w:val="00784057"/>
    <w:rsid w:val="008136AA"/>
    <w:rsid w:val="00835DE7"/>
    <w:rsid w:val="00864198"/>
    <w:rsid w:val="00864B59"/>
    <w:rsid w:val="0089006B"/>
    <w:rsid w:val="008B39B3"/>
    <w:rsid w:val="008D2A53"/>
    <w:rsid w:val="008E4E65"/>
    <w:rsid w:val="00946AF9"/>
    <w:rsid w:val="00947128"/>
    <w:rsid w:val="00970EF7"/>
    <w:rsid w:val="00971467"/>
    <w:rsid w:val="009743B9"/>
    <w:rsid w:val="00974976"/>
    <w:rsid w:val="009E296B"/>
    <w:rsid w:val="009E47D8"/>
    <w:rsid w:val="009F2506"/>
    <w:rsid w:val="00A31AEF"/>
    <w:rsid w:val="00A33A4D"/>
    <w:rsid w:val="00A77428"/>
    <w:rsid w:val="00AD7A96"/>
    <w:rsid w:val="00B031AD"/>
    <w:rsid w:val="00B052E1"/>
    <w:rsid w:val="00B27797"/>
    <w:rsid w:val="00B3576F"/>
    <w:rsid w:val="00B60ECC"/>
    <w:rsid w:val="00B658EA"/>
    <w:rsid w:val="00B80CCC"/>
    <w:rsid w:val="00B8464E"/>
    <w:rsid w:val="00B90DDE"/>
    <w:rsid w:val="00C10441"/>
    <w:rsid w:val="00C107FA"/>
    <w:rsid w:val="00C63541"/>
    <w:rsid w:val="00CA2F67"/>
    <w:rsid w:val="00CC6B96"/>
    <w:rsid w:val="00D52B89"/>
    <w:rsid w:val="00D61570"/>
    <w:rsid w:val="00DA33E3"/>
    <w:rsid w:val="00DA5AE8"/>
    <w:rsid w:val="00DB0BB4"/>
    <w:rsid w:val="00DD14A2"/>
    <w:rsid w:val="00E14A3E"/>
    <w:rsid w:val="00E42A00"/>
    <w:rsid w:val="00E54780"/>
    <w:rsid w:val="00E56D44"/>
    <w:rsid w:val="00E75366"/>
    <w:rsid w:val="00EA330B"/>
    <w:rsid w:val="00EB4EBF"/>
    <w:rsid w:val="00EE122A"/>
    <w:rsid w:val="00EF48F5"/>
    <w:rsid w:val="00EF5384"/>
    <w:rsid w:val="00F0147A"/>
    <w:rsid w:val="00F16053"/>
    <w:rsid w:val="00F1748A"/>
    <w:rsid w:val="00F23474"/>
    <w:rsid w:val="00F574F4"/>
    <w:rsid w:val="00F71D27"/>
    <w:rsid w:val="00F728BC"/>
    <w:rsid w:val="00FC2B10"/>
    <w:rsid w:val="00FF283B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3C6"/>
    <w:rPr>
      <w:color w:val="9D454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3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6D4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6D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FA"/>
  </w:style>
  <w:style w:type="paragraph" w:styleId="Footer">
    <w:name w:val="footer"/>
    <w:basedOn w:val="Normal"/>
    <w:link w:val="FooterChar"/>
    <w:uiPriority w:val="99"/>
    <w:unhideWhenUsed/>
    <w:rsid w:val="00C10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FA"/>
  </w:style>
  <w:style w:type="character" w:styleId="CommentReference">
    <w:name w:val="annotation reference"/>
    <w:basedOn w:val="DefaultParagraphFont"/>
    <w:uiPriority w:val="99"/>
    <w:semiHidden/>
    <w:unhideWhenUsed/>
    <w:rsid w:val="00DB0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3C6"/>
    <w:rPr>
      <w:color w:val="9D454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3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E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6D4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6D4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7FA"/>
  </w:style>
  <w:style w:type="paragraph" w:styleId="Footer">
    <w:name w:val="footer"/>
    <w:basedOn w:val="Normal"/>
    <w:link w:val="FooterChar"/>
    <w:uiPriority w:val="99"/>
    <w:unhideWhenUsed/>
    <w:rsid w:val="00C10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7FA"/>
  </w:style>
  <w:style w:type="character" w:styleId="CommentReference">
    <w:name w:val="annotation reference"/>
    <w:basedOn w:val="DefaultParagraphFont"/>
    <w:uiPriority w:val="99"/>
    <w:semiHidden/>
    <w:unhideWhenUsed/>
    <w:rsid w:val="00DB0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B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templates.somersetccg.nhs.uk/Download/Download/313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s://www.england.nhs.uk/wp-content/uploads/2020/11/C0843-Covid-LeDeR-report-131120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hyperlink" Target="http://www.bristol.ac.uk/sps/leder/news/2020/leder-covid-19-review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gov.uk/government/publications/covid-19-deaths-of-people-with-learning-disabilit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templates.somersetccg.nhs.uk/Home/EMISTemplate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3124-FAC5-480A-BE2C-2DC28573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 Moore</dc:creator>
  <cp:lastModifiedBy>Bojarska Joanna (Somerset Local Medical Committee)</cp:lastModifiedBy>
  <cp:revision>3</cp:revision>
  <dcterms:created xsi:type="dcterms:W3CDTF">2021-01-07T15:30:00Z</dcterms:created>
  <dcterms:modified xsi:type="dcterms:W3CDTF">2021-01-07T15:30:00Z</dcterms:modified>
</cp:coreProperties>
</file>