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17E29" w14:textId="160E1312" w:rsidR="00704635" w:rsidRDefault="008647DE" w:rsidP="00796F91">
      <w:pPr>
        <w:rPr>
          <w:rFonts w:cs="Arial"/>
          <w:b/>
          <w:szCs w:val="24"/>
        </w:rPr>
      </w:pPr>
      <w:bookmarkStart w:id="0" w:name="_Hlk23852497"/>
      <w:bookmarkStart w:id="1" w:name="_GoBack"/>
      <w:bookmarkEnd w:id="1"/>
      <w:r>
        <w:rPr>
          <w:rFonts w:cs="Arial"/>
          <w:b/>
          <w:szCs w:val="24"/>
        </w:rPr>
        <w:t xml:space="preserve">NHS </w:t>
      </w:r>
      <w:r w:rsidR="009A7D7C">
        <w:rPr>
          <w:rFonts w:cs="Arial"/>
          <w:b/>
          <w:szCs w:val="24"/>
        </w:rPr>
        <w:t>n</w:t>
      </w:r>
      <w:r w:rsidR="00704635">
        <w:rPr>
          <w:rFonts w:cs="Arial"/>
          <w:b/>
          <w:szCs w:val="24"/>
        </w:rPr>
        <w:t>ational flu immunisation programme guidance to manage locally held vaccine stock in</w:t>
      </w:r>
      <w:r>
        <w:rPr>
          <w:rFonts w:cs="Arial"/>
          <w:b/>
          <w:szCs w:val="24"/>
        </w:rPr>
        <w:t xml:space="preserve"> </w:t>
      </w:r>
      <w:r w:rsidR="00704635">
        <w:rPr>
          <w:rFonts w:cs="Arial"/>
          <w:b/>
          <w:szCs w:val="24"/>
        </w:rPr>
        <w:t xml:space="preserve">primary care providers and </w:t>
      </w:r>
      <w:r w:rsidR="00B164D1">
        <w:rPr>
          <w:rFonts w:cs="Arial"/>
          <w:b/>
          <w:szCs w:val="24"/>
        </w:rPr>
        <w:t xml:space="preserve">NHS </w:t>
      </w:r>
      <w:r w:rsidR="00704635">
        <w:rPr>
          <w:rFonts w:cs="Arial"/>
          <w:b/>
          <w:szCs w:val="24"/>
        </w:rPr>
        <w:t>Trusts</w:t>
      </w:r>
    </w:p>
    <w:p w14:paraId="363D002F" w14:textId="7367E43D" w:rsidR="00EE0E5B" w:rsidRDefault="00704635" w:rsidP="003776F2">
      <w:pPr>
        <w:spacing w:after="0" w:line="240" w:lineRule="auto"/>
        <w:rPr>
          <w:rFonts w:cs="Arial"/>
        </w:rPr>
      </w:pPr>
      <w:bookmarkStart w:id="2" w:name="_Hlk24008155"/>
      <w:bookmarkStart w:id="3" w:name="_Hlk23852543"/>
      <w:bookmarkEnd w:id="0"/>
      <w:r>
        <w:rPr>
          <w:rFonts w:cs="Arial"/>
        </w:rPr>
        <w:t>The flu immunisation programme continues to play a critical role</w:t>
      </w:r>
      <w:r w:rsidR="00B164D1">
        <w:rPr>
          <w:rFonts w:cs="Arial"/>
        </w:rPr>
        <w:t xml:space="preserve"> in protecting those who are most at risk of complications and/or severe disease should they develop influenza. It is important to ensure the continued delivery of vital NHS public health services. </w:t>
      </w:r>
    </w:p>
    <w:p w14:paraId="045D543A" w14:textId="477AB0DC" w:rsidR="00EE0E5B" w:rsidRPr="00C93C5F" w:rsidRDefault="00EE0E5B" w:rsidP="00524242">
      <w:pPr>
        <w:rPr>
          <w:rFonts w:eastAsiaTheme="minorEastAsia" w:cs="Arial"/>
          <w:szCs w:val="24"/>
          <w:lang w:val="en-US"/>
        </w:rPr>
      </w:pPr>
      <w:r>
        <w:rPr>
          <w:rFonts w:cs="Arial"/>
        </w:rPr>
        <w:t>While there are no known central supply issues of flu vaccine stock, it may be necessary for CCGs, Primary Care Networks (PCNs), General Practitioners or NHS Trusts to facilitate the transfer of locally held vaccine stock from one NHS provider to another to ensure the continued delivery of the flu immunisation programme in the event of acute local supply issues.</w:t>
      </w:r>
    </w:p>
    <w:p w14:paraId="7DC49874" w14:textId="209426E8" w:rsidR="005D5619" w:rsidRDefault="00E72AD9" w:rsidP="005D5619">
      <w:pPr>
        <w:spacing w:after="0" w:line="240" w:lineRule="auto"/>
        <w:rPr>
          <w:rFonts w:cs="Arial"/>
        </w:rPr>
      </w:pPr>
      <w:r w:rsidRPr="00804A83">
        <w:rPr>
          <w:rFonts w:eastAsia="Calibri" w:cs="Arial"/>
          <w:szCs w:val="24"/>
        </w:rPr>
        <w:t xml:space="preserve">The Medicines and Healthcare Products Regulatory Agency (MHRA) has the role of regulating the supply of medicines. Routinely, medication can only be distributed between providers where a wholesaler licence exists, however the </w:t>
      </w:r>
      <w:r w:rsidRPr="00804A83">
        <w:rPr>
          <w:rFonts w:eastAsiaTheme="minorEastAsia" w:cs="Arial"/>
          <w:szCs w:val="24"/>
          <w:lang w:val="en-US"/>
        </w:rPr>
        <w:t>MHRA has confirmed that with regards to the</w:t>
      </w:r>
      <w:r>
        <w:rPr>
          <w:rFonts w:eastAsiaTheme="minorEastAsia" w:cs="Arial"/>
          <w:szCs w:val="24"/>
          <w:lang w:val="en-US"/>
        </w:rPr>
        <w:t xml:space="preserve"> </w:t>
      </w:r>
      <w:r w:rsidRPr="00804A83">
        <w:rPr>
          <w:rFonts w:eastAsiaTheme="minorEastAsia" w:cs="Arial"/>
          <w:szCs w:val="24"/>
          <w:lang w:val="en-US"/>
        </w:rPr>
        <w:t>flu vaccines in the 2020</w:t>
      </w:r>
      <w:r>
        <w:rPr>
          <w:rFonts w:eastAsiaTheme="minorEastAsia" w:cs="Arial"/>
          <w:szCs w:val="24"/>
          <w:lang w:val="en-US"/>
        </w:rPr>
        <w:t>/2021</w:t>
      </w:r>
      <w:r w:rsidRPr="00804A83">
        <w:rPr>
          <w:rFonts w:eastAsiaTheme="minorEastAsia" w:cs="Arial"/>
          <w:szCs w:val="24"/>
          <w:lang w:val="en-US"/>
        </w:rPr>
        <w:t xml:space="preserve"> flu season,</w:t>
      </w:r>
      <w:r w:rsidR="005D5619">
        <w:rPr>
          <w:rFonts w:eastAsiaTheme="minorEastAsia" w:cs="Arial"/>
          <w:szCs w:val="24"/>
          <w:lang w:val="en-US"/>
        </w:rPr>
        <w:t xml:space="preserve"> during COVID-19</w:t>
      </w:r>
      <w:r w:rsidR="00524242">
        <w:rPr>
          <w:rFonts w:eastAsiaTheme="minorEastAsia" w:cs="Arial"/>
          <w:szCs w:val="24"/>
          <w:lang w:val="en-US"/>
        </w:rPr>
        <w:t>,</w:t>
      </w:r>
      <w:r w:rsidRPr="00804A83">
        <w:rPr>
          <w:rFonts w:eastAsiaTheme="minorEastAsia" w:cs="Arial"/>
          <w:szCs w:val="24"/>
          <w:lang w:val="en-US"/>
        </w:rPr>
        <w:t xml:space="preserve"> </w:t>
      </w:r>
      <w:bookmarkStart w:id="4" w:name="_Hlk23853588"/>
      <w:r w:rsidRPr="00804A83">
        <w:rPr>
          <w:rFonts w:eastAsiaTheme="minorEastAsia" w:cs="Arial"/>
          <w:szCs w:val="24"/>
          <w:lang w:val="en-US"/>
        </w:rPr>
        <w:t>it would not prevent the transfer</w:t>
      </w:r>
      <w:r>
        <w:rPr>
          <w:rFonts w:eastAsiaTheme="minorEastAsia" w:cs="Arial"/>
          <w:szCs w:val="24"/>
          <w:lang w:val="en-US"/>
        </w:rPr>
        <w:t xml:space="preserve"> of locally held flu stock for the NHS Flu </w:t>
      </w:r>
      <w:proofErr w:type="spellStart"/>
      <w:r>
        <w:rPr>
          <w:rFonts w:eastAsiaTheme="minorEastAsia" w:cs="Arial"/>
          <w:szCs w:val="24"/>
          <w:lang w:val="en-US"/>
        </w:rPr>
        <w:t>immunisation</w:t>
      </w:r>
      <w:proofErr w:type="spellEnd"/>
      <w:r>
        <w:rPr>
          <w:rFonts w:eastAsiaTheme="minorEastAsia" w:cs="Arial"/>
          <w:szCs w:val="24"/>
          <w:lang w:val="en-US"/>
        </w:rPr>
        <w:t xml:space="preserve"> programme</w:t>
      </w:r>
      <w:r w:rsidR="005D5619">
        <w:rPr>
          <w:rFonts w:eastAsiaTheme="minorEastAsia" w:cs="Arial"/>
          <w:szCs w:val="24"/>
          <w:lang w:val="en-US"/>
        </w:rPr>
        <w:t xml:space="preserve">, </w:t>
      </w:r>
      <w:r>
        <w:rPr>
          <w:rFonts w:eastAsiaTheme="minorEastAsia" w:cs="Arial"/>
          <w:szCs w:val="24"/>
          <w:lang w:val="en-US"/>
        </w:rPr>
        <w:t>in the</w:t>
      </w:r>
      <w:r w:rsidRPr="00804A83">
        <w:rPr>
          <w:rFonts w:eastAsiaTheme="minorEastAsia" w:cs="Arial"/>
          <w:szCs w:val="24"/>
          <w:lang w:val="en-US"/>
        </w:rPr>
        <w:t xml:space="preserve"> circumstance of </w:t>
      </w:r>
      <w:r>
        <w:rPr>
          <w:rFonts w:eastAsiaTheme="minorEastAsia" w:cs="Arial"/>
          <w:szCs w:val="24"/>
          <w:lang w:val="en-US"/>
        </w:rPr>
        <w:t>acute</w:t>
      </w:r>
      <w:r w:rsidR="005D5619">
        <w:rPr>
          <w:rFonts w:eastAsiaTheme="minorEastAsia" w:cs="Arial"/>
          <w:szCs w:val="24"/>
          <w:lang w:val="en-US"/>
        </w:rPr>
        <w:t>, temporary,</w:t>
      </w:r>
      <w:r>
        <w:rPr>
          <w:rFonts w:eastAsiaTheme="minorEastAsia" w:cs="Arial"/>
          <w:szCs w:val="24"/>
          <w:lang w:val="en-US"/>
        </w:rPr>
        <w:t xml:space="preserve"> local supply</w:t>
      </w:r>
      <w:r w:rsidR="005D5619">
        <w:rPr>
          <w:rFonts w:eastAsiaTheme="minorEastAsia" w:cs="Arial"/>
          <w:szCs w:val="24"/>
          <w:lang w:val="en-US"/>
        </w:rPr>
        <w:t xml:space="preserve"> issues, provided that: </w:t>
      </w:r>
      <w:bookmarkEnd w:id="4"/>
    </w:p>
    <w:p w14:paraId="5AECE4A4" w14:textId="4D0C3E7F" w:rsidR="005D5619" w:rsidRDefault="005D5619" w:rsidP="005D5619">
      <w:pPr>
        <w:spacing w:after="0" w:line="240" w:lineRule="auto"/>
        <w:rPr>
          <w:rFonts w:cs="Arial"/>
        </w:rPr>
      </w:pPr>
    </w:p>
    <w:p w14:paraId="47C0B27B" w14:textId="77777777" w:rsidR="00500B7B" w:rsidRDefault="00500B7B" w:rsidP="00A30B71">
      <w:pPr>
        <w:spacing w:after="0" w:line="276" w:lineRule="auto"/>
        <w:rPr>
          <w:rFonts w:eastAsiaTheme="minorEastAsia" w:cs="Arial"/>
          <w:szCs w:val="24"/>
          <w:lang w:val="en-US"/>
        </w:rPr>
      </w:pPr>
    </w:p>
    <w:bookmarkEnd w:id="2"/>
    <w:bookmarkEnd w:id="3"/>
    <w:p w14:paraId="042C8B12" w14:textId="699F4445" w:rsidR="0035462B" w:rsidRDefault="0035462B" w:rsidP="00A30B71">
      <w:pPr>
        <w:pStyle w:val="ListParagraph"/>
        <w:numPr>
          <w:ilvl w:val="0"/>
          <w:numId w:val="2"/>
        </w:numPr>
        <w:spacing w:after="0" w:line="276" w:lineRule="auto"/>
        <w:rPr>
          <w:rFonts w:eastAsiaTheme="minorEastAsia" w:cs="Arial"/>
          <w:szCs w:val="24"/>
          <w:lang w:val="en-US"/>
        </w:rPr>
      </w:pPr>
      <w:r>
        <w:rPr>
          <w:rFonts w:eastAsiaTheme="minorEastAsia" w:cs="Arial"/>
          <w:szCs w:val="24"/>
          <w:lang w:val="en-US"/>
        </w:rPr>
        <w:t>The CCG, PCN</w:t>
      </w:r>
      <w:r w:rsidR="00B164D1">
        <w:rPr>
          <w:rFonts w:eastAsiaTheme="minorEastAsia" w:cs="Arial"/>
          <w:szCs w:val="24"/>
          <w:lang w:val="en-US"/>
        </w:rPr>
        <w:t xml:space="preserve">, </w:t>
      </w:r>
      <w:r>
        <w:rPr>
          <w:rFonts w:eastAsiaTheme="minorEastAsia" w:cs="Arial"/>
          <w:szCs w:val="24"/>
          <w:lang w:val="en-US"/>
        </w:rPr>
        <w:t>General Practice</w:t>
      </w:r>
      <w:r w:rsidR="00B164D1">
        <w:rPr>
          <w:rFonts w:eastAsiaTheme="minorEastAsia" w:cs="Arial"/>
          <w:szCs w:val="24"/>
          <w:lang w:val="en-US"/>
        </w:rPr>
        <w:t xml:space="preserve"> or NHS Trust</w:t>
      </w:r>
      <w:r>
        <w:rPr>
          <w:rFonts w:eastAsiaTheme="minorEastAsia" w:cs="Arial"/>
          <w:szCs w:val="24"/>
          <w:lang w:val="en-US"/>
        </w:rPr>
        <w:t xml:space="preserve"> believes the transfer of </w:t>
      </w:r>
      <w:r w:rsidR="00B164D1">
        <w:rPr>
          <w:rFonts w:eastAsiaTheme="minorEastAsia" w:cs="Arial"/>
          <w:szCs w:val="24"/>
          <w:lang w:val="en-US"/>
        </w:rPr>
        <w:t xml:space="preserve">flu </w:t>
      </w:r>
      <w:r>
        <w:rPr>
          <w:rFonts w:eastAsiaTheme="minorEastAsia" w:cs="Arial"/>
          <w:szCs w:val="24"/>
          <w:lang w:val="en-US"/>
        </w:rPr>
        <w:t xml:space="preserve">vaccine(s) is necessary to support the continued delivery of </w:t>
      </w:r>
      <w:r w:rsidR="00B164D1">
        <w:rPr>
          <w:rFonts w:eastAsiaTheme="minorEastAsia" w:cs="Arial"/>
          <w:szCs w:val="24"/>
          <w:lang w:val="en-US"/>
        </w:rPr>
        <w:t xml:space="preserve">the NHS flu </w:t>
      </w:r>
      <w:proofErr w:type="spellStart"/>
      <w:r w:rsidR="00B164D1">
        <w:rPr>
          <w:rFonts w:eastAsiaTheme="minorEastAsia" w:cs="Arial"/>
          <w:szCs w:val="24"/>
          <w:lang w:val="en-US"/>
        </w:rPr>
        <w:t>immunisation</w:t>
      </w:r>
      <w:proofErr w:type="spellEnd"/>
      <w:r w:rsidR="00B164D1">
        <w:rPr>
          <w:rFonts w:eastAsiaTheme="minorEastAsia" w:cs="Arial"/>
          <w:szCs w:val="24"/>
          <w:lang w:val="en-US"/>
        </w:rPr>
        <w:t xml:space="preserve"> programme either in primary care or NHS Trusts </w:t>
      </w:r>
      <w:r>
        <w:rPr>
          <w:rFonts w:eastAsiaTheme="minorEastAsia" w:cs="Arial"/>
          <w:szCs w:val="24"/>
          <w:lang w:val="en-US"/>
        </w:rPr>
        <w:t>during the COVID-19 response and will ensure the effective use of available resource</w:t>
      </w:r>
      <w:r w:rsidR="005C5400">
        <w:rPr>
          <w:rFonts w:eastAsiaTheme="minorEastAsia" w:cs="Arial"/>
          <w:szCs w:val="24"/>
          <w:lang w:val="en-US"/>
        </w:rPr>
        <w:t>;</w:t>
      </w:r>
    </w:p>
    <w:p w14:paraId="3EF9F7E7" w14:textId="58855225" w:rsidR="0035462B" w:rsidRDefault="0035462B" w:rsidP="00A30B71">
      <w:pPr>
        <w:pStyle w:val="ListParagraph"/>
        <w:numPr>
          <w:ilvl w:val="0"/>
          <w:numId w:val="2"/>
        </w:numPr>
        <w:spacing w:after="0" w:line="276" w:lineRule="auto"/>
        <w:rPr>
          <w:rFonts w:eastAsiaTheme="minorEastAsia" w:cs="Arial"/>
          <w:szCs w:val="24"/>
          <w:lang w:val="en-US"/>
        </w:rPr>
      </w:pPr>
      <w:r>
        <w:rPr>
          <w:rFonts w:eastAsiaTheme="minorEastAsia" w:cs="Arial"/>
          <w:szCs w:val="24"/>
          <w:lang w:val="en-US"/>
        </w:rPr>
        <w:t xml:space="preserve">The CCG, </w:t>
      </w:r>
      <w:r w:rsidR="00825EEE">
        <w:rPr>
          <w:rFonts w:eastAsiaTheme="minorEastAsia" w:cs="Arial"/>
          <w:szCs w:val="24"/>
          <w:lang w:val="en-US"/>
        </w:rPr>
        <w:t>PCN, General</w:t>
      </w:r>
      <w:r>
        <w:rPr>
          <w:rFonts w:eastAsiaTheme="minorEastAsia" w:cs="Arial"/>
          <w:szCs w:val="24"/>
          <w:lang w:val="en-US"/>
        </w:rPr>
        <w:t xml:space="preserve"> Practice</w:t>
      </w:r>
      <w:r w:rsidR="00B164D1">
        <w:rPr>
          <w:rFonts w:eastAsiaTheme="minorEastAsia" w:cs="Arial"/>
          <w:szCs w:val="24"/>
          <w:lang w:val="en-US"/>
        </w:rPr>
        <w:t xml:space="preserve"> or NHS Trust</w:t>
      </w:r>
      <w:r>
        <w:rPr>
          <w:rFonts w:eastAsiaTheme="minorEastAsia" w:cs="Arial"/>
          <w:szCs w:val="24"/>
          <w:lang w:val="en-US"/>
        </w:rPr>
        <w:t xml:space="preserve"> that is holding the vaccine stock has assurance that the </w:t>
      </w:r>
      <w:r w:rsidR="00B164D1">
        <w:rPr>
          <w:rFonts w:eastAsiaTheme="minorEastAsia" w:cs="Arial"/>
          <w:szCs w:val="24"/>
          <w:lang w:val="en-US"/>
        </w:rPr>
        <w:t xml:space="preserve">flu </w:t>
      </w:r>
      <w:r>
        <w:rPr>
          <w:rFonts w:eastAsiaTheme="minorEastAsia" w:cs="Arial"/>
          <w:szCs w:val="24"/>
          <w:lang w:val="en-US"/>
        </w:rPr>
        <w:t>vaccine has been stored in the correct temperature-controlled conditions;</w:t>
      </w:r>
      <w:r w:rsidR="00B164D1">
        <w:rPr>
          <w:rFonts w:eastAsiaTheme="minorEastAsia" w:cs="Arial"/>
          <w:szCs w:val="24"/>
          <w:lang w:val="en-US"/>
        </w:rPr>
        <w:t xml:space="preserve"> </w:t>
      </w:r>
    </w:p>
    <w:p w14:paraId="74A35ADE" w14:textId="09542949" w:rsidR="00087353" w:rsidRPr="00804A83" w:rsidRDefault="00087353" w:rsidP="00A30B71">
      <w:pPr>
        <w:pStyle w:val="ListParagraph"/>
        <w:numPr>
          <w:ilvl w:val="0"/>
          <w:numId w:val="2"/>
        </w:numPr>
        <w:spacing w:after="0" w:line="276" w:lineRule="auto"/>
        <w:rPr>
          <w:rFonts w:eastAsiaTheme="minorEastAsia" w:cs="Arial"/>
          <w:szCs w:val="24"/>
          <w:lang w:val="en-US"/>
        </w:rPr>
      </w:pPr>
      <w:r w:rsidRPr="00804A83">
        <w:rPr>
          <w:rFonts w:eastAsiaTheme="minorEastAsia" w:cs="Arial"/>
          <w:szCs w:val="24"/>
          <w:lang w:val="en-US"/>
        </w:rPr>
        <w:t xml:space="preserve">confirmed </w:t>
      </w:r>
      <w:r w:rsidR="00B96028">
        <w:rPr>
          <w:rFonts w:eastAsiaTheme="minorEastAsia" w:cs="Arial"/>
          <w:szCs w:val="24"/>
          <w:lang w:val="en-US"/>
        </w:rPr>
        <w:t xml:space="preserve">daily </w:t>
      </w:r>
      <w:r w:rsidRPr="00804A83">
        <w:rPr>
          <w:rFonts w:eastAsiaTheme="minorEastAsia" w:cs="Arial"/>
          <w:szCs w:val="24"/>
          <w:lang w:val="en-US"/>
        </w:rPr>
        <w:t xml:space="preserve">record keeping of temperature monitoring is available; </w:t>
      </w:r>
    </w:p>
    <w:p w14:paraId="39E1F5BA" w14:textId="605A6C51" w:rsidR="00087353" w:rsidRPr="00804A83" w:rsidRDefault="0035462B" w:rsidP="00A30B71">
      <w:pPr>
        <w:pStyle w:val="ListParagraph"/>
        <w:numPr>
          <w:ilvl w:val="0"/>
          <w:numId w:val="2"/>
        </w:numPr>
        <w:spacing w:after="0" w:line="276" w:lineRule="auto"/>
        <w:rPr>
          <w:rFonts w:eastAsiaTheme="minorEastAsia" w:cs="Arial"/>
          <w:szCs w:val="24"/>
          <w:lang w:val="en-US"/>
        </w:rPr>
      </w:pPr>
      <w:r>
        <w:rPr>
          <w:rFonts w:eastAsiaTheme="minorEastAsia" w:cs="Arial"/>
          <w:szCs w:val="24"/>
          <w:lang w:val="en-US"/>
        </w:rPr>
        <w:t>The CCG, PCN</w:t>
      </w:r>
      <w:r w:rsidR="00D03141">
        <w:rPr>
          <w:rFonts w:eastAsiaTheme="minorEastAsia" w:cs="Arial"/>
          <w:szCs w:val="24"/>
          <w:lang w:val="en-US"/>
        </w:rPr>
        <w:t>,</w:t>
      </w:r>
      <w:r w:rsidR="00155A44">
        <w:rPr>
          <w:rFonts w:eastAsiaTheme="minorEastAsia" w:cs="Arial"/>
          <w:szCs w:val="24"/>
          <w:lang w:val="en-US"/>
        </w:rPr>
        <w:t xml:space="preserve"> </w:t>
      </w:r>
      <w:r>
        <w:rPr>
          <w:rFonts w:eastAsiaTheme="minorEastAsia" w:cs="Arial"/>
          <w:szCs w:val="24"/>
          <w:lang w:val="en-US"/>
        </w:rPr>
        <w:t>General Practice</w:t>
      </w:r>
      <w:r w:rsidR="00D03141">
        <w:rPr>
          <w:rFonts w:eastAsiaTheme="minorEastAsia" w:cs="Arial"/>
          <w:szCs w:val="24"/>
          <w:lang w:val="en-US"/>
        </w:rPr>
        <w:t xml:space="preserve"> or NHS Trust</w:t>
      </w:r>
      <w:r>
        <w:rPr>
          <w:rFonts w:eastAsiaTheme="minorEastAsia" w:cs="Arial"/>
          <w:szCs w:val="24"/>
          <w:lang w:val="en-US"/>
        </w:rPr>
        <w:t xml:space="preserve"> </w:t>
      </w:r>
      <w:r w:rsidR="00087353" w:rsidRPr="00804A83">
        <w:rPr>
          <w:rFonts w:eastAsiaTheme="minorEastAsia" w:cs="Arial"/>
          <w:szCs w:val="24"/>
          <w:lang w:val="en-US"/>
        </w:rPr>
        <w:t>that requ</w:t>
      </w:r>
      <w:r>
        <w:rPr>
          <w:rFonts w:eastAsiaTheme="minorEastAsia" w:cs="Arial"/>
          <w:szCs w:val="24"/>
          <w:lang w:val="en-US"/>
        </w:rPr>
        <w:t xml:space="preserve">ires locally held </w:t>
      </w:r>
      <w:r w:rsidR="00D03141">
        <w:rPr>
          <w:rFonts w:eastAsiaTheme="minorEastAsia" w:cs="Arial"/>
          <w:szCs w:val="24"/>
          <w:lang w:val="en-US"/>
        </w:rPr>
        <w:t xml:space="preserve">flu </w:t>
      </w:r>
      <w:r>
        <w:rPr>
          <w:rFonts w:eastAsiaTheme="minorEastAsia" w:cs="Arial"/>
          <w:szCs w:val="24"/>
          <w:lang w:val="en-US"/>
        </w:rPr>
        <w:t xml:space="preserve">vaccine </w:t>
      </w:r>
      <w:r w:rsidR="00155A44">
        <w:rPr>
          <w:rFonts w:eastAsiaTheme="minorEastAsia" w:cs="Arial"/>
          <w:szCs w:val="24"/>
          <w:lang w:val="en-US"/>
        </w:rPr>
        <w:t>stock can</w:t>
      </w:r>
      <w:r w:rsidR="00087353" w:rsidRPr="00804A83">
        <w:rPr>
          <w:rFonts w:eastAsiaTheme="minorEastAsia" w:cs="Arial"/>
          <w:szCs w:val="24"/>
          <w:lang w:val="en-US"/>
        </w:rPr>
        <w:t xml:space="preserve"> verify the assurances given; </w:t>
      </w:r>
      <w:r w:rsidR="00804A83">
        <w:rPr>
          <w:rFonts w:eastAsiaTheme="minorEastAsia" w:cs="Arial"/>
          <w:szCs w:val="24"/>
          <w:lang w:val="en-US"/>
        </w:rPr>
        <w:t>and</w:t>
      </w:r>
    </w:p>
    <w:p w14:paraId="0CFD3AB1" w14:textId="41CC6023" w:rsidR="005D5619" w:rsidRPr="00524242" w:rsidRDefault="00087353" w:rsidP="005D5619">
      <w:pPr>
        <w:pStyle w:val="ListParagraph"/>
        <w:numPr>
          <w:ilvl w:val="0"/>
          <w:numId w:val="2"/>
        </w:numPr>
        <w:spacing w:after="0" w:line="276" w:lineRule="auto"/>
        <w:rPr>
          <w:rFonts w:eastAsiaTheme="minorEastAsia" w:cs="Arial"/>
          <w:szCs w:val="24"/>
          <w:lang w:val="en-US"/>
        </w:rPr>
      </w:pPr>
      <w:r w:rsidRPr="00804A83">
        <w:rPr>
          <w:rFonts w:eastAsiaTheme="minorEastAsia" w:cs="Arial"/>
          <w:szCs w:val="24"/>
          <w:lang w:val="en-US"/>
        </w:rPr>
        <w:t xml:space="preserve">the </w:t>
      </w:r>
      <w:r w:rsidR="00D03141">
        <w:rPr>
          <w:rFonts w:eastAsiaTheme="minorEastAsia" w:cs="Arial"/>
          <w:szCs w:val="24"/>
          <w:lang w:val="en-US"/>
        </w:rPr>
        <w:t xml:space="preserve">flu </w:t>
      </w:r>
      <w:r w:rsidRPr="00804A83">
        <w:rPr>
          <w:rFonts w:eastAsiaTheme="minorEastAsia" w:cs="Arial"/>
          <w:szCs w:val="24"/>
          <w:lang w:val="en-US"/>
        </w:rPr>
        <w:t>vaccine</w:t>
      </w:r>
      <w:r w:rsidR="0035462B">
        <w:rPr>
          <w:rFonts w:eastAsiaTheme="minorEastAsia" w:cs="Arial"/>
          <w:szCs w:val="24"/>
          <w:lang w:val="en-US"/>
        </w:rPr>
        <w:t xml:space="preserve">(s) </w:t>
      </w:r>
      <w:r w:rsidRPr="00804A83">
        <w:rPr>
          <w:rFonts w:eastAsiaTheme="minorEastAsia" w:cs="Arial"/>
          <w:szCs w:val="24"/>
          <w:lang w:val="en-US"/>
        </w:rPr>
        <w:t xml:space="preserve">can be transported appropriately under the </w:t>
      </w:r>
      <w:r w:rsidR="00804A83" w:rsidRPr="00804A83">
        <w:rPr>
          <w:rFonts w:eastAsiaTheme="minorEastAsia" w:cs="Arial"/>
          <w:szCs w:val="24"/>
          <w:lang w:val="en-US"/>
        </w:rPr>
        <w:t>right cold</w:t>
      </w:r>
      <w:r w:rsidR="003A1EA5" w:rsidRPr="00804A83">
        <w:rPr>
          <w:rFonts w:eastAsiaTheme="minorEastAsia" w:cs="Arial"/>
          <w:szCs w:val="24"/>
          <w:lang w:val="en-US"/>
        </w:rPr>
        <w:t xml:space="preserve"> chain </w:t>
      </w:r>
      <w:r w:rsidRPr="00804A83">
        <w:rPr>
          <w:rFonts w:eastAsiaTheme="minorEastAsia" w:cs="Arial"/>
          <w:szCs w:val="24"/>
          <w:lang w:val="en-US"/>
        </w:rPr>
        <w:t>conditions.</w:t>
      </w:r>
    </w:p>
    <w:p w14:paraId="14041BAE" w14:textId="77777777" w:rsidR="003A1EA5" w:rsidRPr="00804A83" w:rsidRDefault="003A1EA5" w:rsidP="003A1EA5">
      <w:pPr>
        <w:pStyle w:val="ListParagraph"/>
        <w:spacing w:after="0" w:line="276" w:lineRule="auto"/>
        <w:rPr>
          <w:rFonts w:eastAsiaTheme="minorEastAsia" w:cs="Arial"/>
          <w:szCs w:val="24"/>
          <w:lang w:val="en-US"/>
        </w:rPr>
      </w:pPr>
    </w:p>
    <w:p w14:paraId="7CA6AAD0" w14:textId="5A08FFD1" w:rsidR="00087353" w:rsidRDefault="0035462B" w:rsidP="003A1EA5">
      <w:pPr>
        <w:rPr>
          <w:rFonts w:eastAsiaTheme="minorEastAsia" w:cs="Arial"/>
          <w:szCs w:val="24"/>
          <w:lang w:val="en-US"/>
        </w:rPr>
      </w:pPr>
      <w:r>
        <w:rPr>
          <w:rFonts w:eastAsiaTheme="minorEastAsia" w:cs="Arial"/>
          <w:szCs w:val="24"/>
          <w:lang w:val="en-US"/>
        </w:rPr>
        <w:t xml:space="preserve">CCGs, </w:t>
      </w:r>
      <w:r w:rsidR="00515B64">
        <w:rPr>
          <w:rFonts w:eastAsiaTheme="minorEastAsia" w:cs="Arial"/>
          <w:szCs w:val="24"/>
          <w:lang w:val="en-US"/>
        </w:rPr>
        <w:t>PCNs</w:t>
      </w:r>
      <w:r w:rsidR="00D03141">
        <w:rPr>
          <w:rFonts w:eastAsiaTheme="minorEastAsia" w:cs="Arial"/>
          <w:szCs w:val="24"/>
          <w:lang w:val="en-US"/>
        </w:rPr>
        <w:t xml:space="preserve">, </w:t>
      </w:r>
      <w:r>
        <w:rPr>
          <w:rFonts w:eastAsiaTheme="minorEastAsia" w:cs="Arial"/>
          <w:szCs w:val="24"/>
          <w:lang w:val="en-US"/>
        </w:rPr>
        <w:t>Primary Care</w:t>
      </w:r>
      <w:r w:rsidR="00D03141">
        <w:rPr>
          <w:rFonts w:eastAsiaTheme="minorEastAsia" w:cs="Arial"/>
          <w:szCs w:val="24"/>
          <w:lang w:val="en-US"/>
        </w:rPr>
        <w:t xml:space="preserve"> and NHS Trust</w:t>
      </w:r>
      <w:r>
        <w:rPr>
          <w:rFonts w:eastAsiaTheme="minorEastAsia" w:cs="Arial"/>
          <w:szCs w:val="24"/>
          <w:lang w:val="en-US"/>
        </w:rPr>
        <w:t xml:space="preserve"> providers </w:t>
      </w:r>
      <w:r w:rsidR="00087353" w:rsidRPr="00804A83">
        <w:rPr>
          <w:rFonts w:eastAsiaTheme="minorEastAsia" w:cs="Arial"/>
          <w:szCs w:val="24"/>
          <w:lang w:val="en-US"/>
        </w:rPr>
        <w:t>should refer to Public Health England’s protocol for the ordering, stori</w:t>
      </w:r>
      <w:r w:rsidR="003A1EA5" w:rsidRPr="00804A83">
        <w:rPr>
          <w:rFonts w:eastAsiaTheme="minorEastAsia" w:cs="Arial"/>
          <w:szCs w:val="24"/>
          <w:lang w:val="en-US"/>
        </w:rPr>
        <w:t>ng and management of vaccines</w:t>
      </w:r>
      <w:r w:rsidR="005222DD">
        <w:rPr>
          <w:rFonts w:eastAsiaTheme="minorEastAsia" w:cs="Arial"/>
          <w:szCs w:val="24"/>
          <w:lang w:val="en-US"/>
        </w:rPr>
        <w:t xml:space="preserve"> </w:t>
      </w:r>
      <w:hyperlink r:id="rId11" w:history="1">
        <w:r w:rsidR="00087353" w:rsidRPr="00804A83">
          <w:rPr>
            <w:rStyle w:val="Hyperlink"/>
            <w:rFonts w:eastAsiaTheme="minorEastAsia" w:cs="Arial"/>
            <w:szCs w:val="24"/>
            <w:lang w:val="en-US"/>
          </w:rPr>
          <w:t>https://www.gov.uk/government/publications/protocol-for-ordering-storing-and-handling-vaccines</w:t>
        </w:r>
      </w:hyperlink>
      <w:r w:rsidR="00515B64">
        <w:rPr>
          <w:rStyle w:val="Hyperlink"/>
          <w:rFonts w:eastAsiaTheme="minorEastAsia" w:cs="Arial"/>
          <w:szCs w:val="24"/>
          <w:lang w:val="en-US"/>
        </w:rPr>
        <w:t>.</w:t>
      </w:r>
      <w:r w:rsidR="00087353" w:rsidRPr="00804A83">
        <w:rPr>
          <w:rFonts w:eastAsiaTheme="minorEastAsia" w:cs="Arial"/>
          <w:szCs w:val="24"/>
          <w:lang w:val="en-US"/>
        </w:rPr>
        <w:t xml:space="preserve"> </w:t>
      </w:r>
    </w:p>
    <w:p w14:paraId="5F0FFB9C" w14:textId="0841B195" w:rsidR="008761E4" w:rsidRDefault="00825EEE" w:rsidP="003A1EA5">
      <w:pPr>
        <w:rPr>
          <w:rFonts w:eastAsiaTheme="minorEastAsia" w:cs="Arial"/>
          <w:szCs w:val="24"/>
          <w:lang w:val="en-US"/>
        </w:rPr>
      </w:pPr>
      <w:r>
        <w:rPr>
          <w:rFonts w:eastAsiaTheme="minorEastAsia" w:cs="Arial"/>
          <w:szCs w:val="24"/>
          <w:lang w:val="en-US"/>
        </w:rPr>
        <w:t xml:space="preserve">Please be aware that errors in vaccine administration and/or vaccine related incidents should be reported to the regional NHSEI public health S7a commissioning team. </w:t>
      </w:r>
    </w:p>
    <w:p w14:paraId="5B46532E" w14:textId="5C4AF529" w:rsidR="009762AB" w:rsidRPr="00804A83" w:rsidRDefault="009762AB" w:rsidP="003A1EA5">
      <w:pPr>
        <w:rPr>
          <w:rFonts w:eastAsiaTheme="minorEastAsia" w:cs="Arial"/>
          <w:szCs w:val="24"/>
          <w:lang w:val="en-US"/>
        </w:rPr>
      </w:pPr>
      <w:r>
        <w:rPr>
          <w:rFonts w:eastAsiaTheme="minorEastAsia" w:cs="Arial"/>
          <w:szCs w:val="24"/>
          <w:lang w:val="en-US"/>
        </w:rPr>
        <w:t>An open consultation is underway on changes to Human Medicine Regulations to support the rollout of COVID-19 vaccines which considers provisions for wholesale dealing of vaccines, ending Friday 18</w:t>
      </w:r>
      <w:r w:rsidRPr="00C93C5F">
        <w:rPr>
          <w:rFonts w:eastAsiaTheme="minorEastAsia" w:cs="Arial"/>
          <w:szCs w:val="24"/>
          <w:vertAlign w:val="superscript"/>
          <w:lang w:val="en-US"/>
        </w:rPr>
        <w:t>th</w:t>
      </w:r>
      <w:r>
        <w:rPr>
          <w:rFonts w:eastAsiaTheme="minorEastAsia" w:cs="Arial"/>
          <w:szCs w:val="24"/>
          <w:lang w:val="en-US"/>
        </w:rPr>
        <w:t xml:space="preserve"> September 2020.  </w:t>
      </w:r>
      <w:hyperlink r:id="rId12" w:history="1">
        <w:r w:rsidRPr="009762AB">
          <w:rPr>
            <w:rStyle w:val="Hyperlink"/>
          </w:rPr>
          <w:t>https://www.gov.uk/government/consultations/distributing-vaccines-and-treatments-</w:t>
        </w:r>
        <w:r w:rsidRPr="009762AB">
          <w:rPr>
            <w:rStyle w:val="Hyperlink"/>
          </w:rPr>
          <w:lastRenderedPageBreak/>
          <w:t>for-covid-19-and-flu/consultation-document-changes-to-human-medicine-regulations-to-support-the-rollout-of-covid-19-vaccines</w:t>
        </w:r>
      </w:hyperlink>
      <w:r>
        <w:t>. Changes to regulations resulting from this consultation may supersede any guidance in this document.</w:t>
      </w:r>
    </w:p>
    <w:p w14:paraId="20F3EE24" w14:textId="63804833" w:rsidR="00087353" w:rsidRPr="00804A83" w:rsidRDefault="00087353" w:rsidP="00087353">
      <w:pPr>
        <w:spacing w:line="276" w:lineRule="auto"/>
        <w:rPr>
          <w:rFonts w:eastAsiaTheme="minorEastAsia" w:cs="Arial"/>
          <w:szCs w:val="24"/>
          <w:lang w:val="en-US"/>
        </w:rPr>
      </w:pPr>
      <w:r w:rsidRPr="00804A83">
        <w:rPr>
          <w:szCs w:val="24"/>
        </w:rPr>
        <w:t xml:space="preserve">Community Pharmacies are already able to transfer medicines to other healthcare providers without a wholesalers licence under specific circumstances, and should refer to the relevant guidance at </w:t>
      </w:r>
      <w:hyperlink r:id="rId13" w:history="1">
        <w:r w:rsidRPr="00804A83">
          <w:rPr>
            <w:rStyle w:val="Hyperlink"/>
            <w:szCs w:val="24"/>
          </w:rPr>
          <w:t>https://www.gov.uk/government/publications/repeal-of-wholesale-dealer-licence-exemption-for-pharmacists</w:t>
        </w:r>
      </w:hyperlink>
      <w:r w:rsidR="00515B64">
        <w:rPr>
          <w:rStyle w:val="Hyperlink"/>
          <w:szCs w:val="24"/>
        </w:rPr>
        <w:t>.</w:t>
      </w:r>
    </w:p>
    <w:p w14:paraId="73FDA4E5" w14:textId="65C8721C" w:rsidR="0035462B" w:rsidRDefault="0008591B" w:rsidP="0008591B">
      <w:pPr>
        <w:rPr>
          <w:szCs w:val="24"/>
        </w:rPr>
      </w:pPr>
      <w:r>
        <w:rPr>
          <w:szCs w:val="24"/>
        </w:rPr>
        <w:t xml:space="preserve">The NHS Specialist Pharmacy Service has made available guidance on the use of Patient Group Directions in Primary Care Networks. This can be accessed at </w:t>
      </w:r>
      <w:hyperlink r:id="rId14" w:history="1">
        <w:r w:rsidRPr="00F040C9">
          <w:rPr>
            <w:rStyle w:val="Hyperlink"/>
            <w:szCs w:val="24"/>
          </w:rPr>
          <w:t>https://www.sps.nhs.uk/articles/patient-group-direction-use-in-primary-care-networks/</w:t>
        </w:r>
      </w:hyperlink>
      <w:r>
        <w:rPr>
          <w:szCs w:val="24"/>
        </w:rPr>
        <w:t xml:space="preserve"> </w:t>
      </w:r>
    </w:p>
    <w:p w14:paraId="3AF4951D" w14:textId="6CDB93F2" w:rsidR="00DB5AE6" w:rsidRDefault="00DB5AE6" w:rsidP="0008591B">
      <w:pPr>
        <w:rPr>
          <w:szCs w:val="24"/>
        </w:rPr>
      </w:pPr>
      <w:r>
        <w:rPr>
          <w:szCs w:val="24"/>
        </w:rPr>
        <w:t>10</w:t>
      </w:r>
      <w:r w:rsidRPr="00C93C5F">
        <w:rPr>
          <w:szCs w:val="24"/>
          <w:vertAlign w:val="superscript"/>
        </w:rPr>
        <w:t>th</w:t>
      </w:r>
      <w:r>
        <w:rPr>
          <w:szCs w:val="24"/>
        </w:rPr>
        <w:t xml:space="preserve"> September 2020</w:t>
      </w:r>
    </w:p>
    <w:sectPr w:rsidR="00DB5AE6" w:rsidSect="00CB479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63B2" w14:textId="77777777" w:rsidR="0073166A" w:rsidRDefault="0073166A" w:rsidP="00CB479C">
      <w:pPr>
        <w:spacing w:after="0" w:line="240" w:lineRule="auto"/>
      </w:pPr>
      <w:r>
        <w:separator/>
      </w:r>
    </w:p>
  </w:endnote>
  <w:endnote w:type="continuationSeparator" w:id="0">
    <w:p w14:paraId="430DC23B" w14:textId="77777777" w:rsidR="0073166A" w:rsidRDefault="0073166A"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3AD5" w14:textId="77777777" w:rsidR="00F3121A" w:rsidRDefault="00F31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9CB6" w14:textId="77777777" w:rsidR="00F3121A" w:rsidRDefault="00F31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5C29" w14:textId="77777777" w:rsidR="00CB479C" w:rsidRDefault="00CB479C">
    <w:pPr>
      <w:pStyle w:val="Footer"/>
    </w:pPr>
    <w:r>
      <w:rPr>
        <w:noProof/>
      </w:rPr>
      <mc:AlternateContent>
        <mc:Choice Requires="wps">
          <w:drawing>
            <wp:anchor distT="0" distB="0" distL="114300" distR="114300" simplePos="0" relativeHeight="251657728" behindDoc="0" locked="0" layoutInCell="1" allowOverlap="1" wp14:anchorId="041B4CE8" wp14:editId="266211A9">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4F2C7E43"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B4CE8" id="_x0000_t202" coordsize="21600,21600" o:spt="202" path="m,l,21600r21600,l21600,xe">
              <v:stroke joinstyle="miter"/>
              <v:path gradientshapeok="t" o:connecttype="rect"/>
            </v:shapetype>
            <v:shape id="Text Box 4" o:spid="_x0000_s1026" type="#_x0000_t202" style="position:absolute;margin-left:99pt;margin-top:704.5pt;width:252.75pt;height:3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4F2C7E43"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6704" behindDoc="1" locked="0" layoutInCell="1" allowOverlap="1" wp14:anchorId="1B4C4EC6" wp14:editId="5976B541">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7D92B" w14:textId="77777777" w:rsidR="0073166A" w:rsidRDefault="0073166A" w:rsidP="00CB479C">
      <w:pPr>
        <w:spacing w:after="0" w:line="240" w:lineRule="auto"/>
      </w:pPr>
      <w:r>
        <w:separator/>
      </w:r>
    </w:p>
  </w:footnote>
  <w:footnote w:type="continuationSeparator" w:id="0">
    <w:p w14:paraId="1ED50FE0" w14:textId="77777777" w:rsidR="0073166A" w:rsidRDefault="0073166A"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7D66" w14:textId="77777777" w:rsidR="00F3121A" w:rsidRDefault="00F31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8BF7" w14:textId="5DDE24B9" w:rsidR="00F3121A" w:rsidRDefault="00F31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5F88" w14:textId="07E7BBDD" w:rsidR="00F3121A" w:rsidRDefault="00F31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FC7"/>
    <w:multiLevelType w:val="hybridMultilevel"/>
    <w:tmpl w:val="C1B85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A1FF0"/>
    <w:multiLevelType w:val="hybridMultilevel"/>
    <w:tmpl w:val="D380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B489D"/>
    <w:multiLevelType w:val="hybridMultilevel"/>
    <w:tmpl w:val="0446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E0BEA"/>
    <w:multiLevelType w:val="hybridMultilevel"/>
    <w:tmpl w:val="AD06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B5CFA"/>
    <w:multiLevelType w:val="hybridMultilevel"/>
    <w:tmpl w:val="46B03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2B6033"/>
    <w:multiLevelType w:val="hybridMultilevel"/>
    <w:tmpl w:val="F942F6F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7825047F"/>
    <w:multiLevelType w:val="hybridMultilevel"/>
    <w:tmpl w:val="5BA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06AB3"/>
    <w:rsid w:val="00012418"/>
    <w:rsid w:val="00034980"/>
    <w:rsid w:val="0003529D"/>
    <w:rsid w:val="000479A6"/>
    <w:rsid w:val="000559A2"/>
    <w:rsid w:val="0008591B"/>
    <w:rsid w:val="00087353"/>
    <w:rsid w:val="000B08C1"/>
    <w:rsid w:val="000C400B"/>
    <w:rsid w:val="000C7ECB"/>
    <w:rsid w:val="000F2E43"/>
    <w:rsid w:val="00100FA1"/>
    <w:rsid w:val="001121DD"/>
    <w:rsid w:val="0011252B"/>
    <w:rsid w:val="00155A44"/>
    <w:rsid w:val="00173413"/>
    <w:rsid w:val="00195A22"/>
    <w:rsid w:val="001D286A"/>
    <w:rsid w:val="001D34B3"/>
    <w:rsid w:val="0021299E"/>
    <w:rsid w:val="00220486"/>
    <w:rsid w:val="0022274D"/>
    <w:rsid w:val="00243AED"/>
    <w:rsid w:val="002668B4"/>
    <w:rsid w:val="0029358B"/>
    <w:rsid w:val="002A73F1"/>
    <w:rsid w:val="002B5954"/>
    <w:rsid w:val="002F2D6F"/>
    <w:rsid w:val="002F3C88"/>
    <w:rsid w:val="00306B20"/>
    <w:rsid w:val="003103E5"/>
    <w:rsid w:val="003159DE"/>
    <w:rsid w:val="00342DA7"/>
    <w:rsid w:val="00352A19"/>
    <w:rsid w:val="0035462B"/>
    <w:rsid w:val="00360644"/>
    <w:rsid w:val="00374C28"/>
    <w:rsid w:val="00375C9B"/>
    <w:rsid w:val="003776F2"/>
    <w:rsid w:val="003A1EA5"/>
    <w:rsid w:val="003A1EDB"/>
    <w:rsid w:val="003E2462"/>
    <w:rsid w:val="003E2F89"/>
    <w:rsid w:val="00402F56"/>
    <w:rsid w:val="00417858"/>
    <w:rsid w:val="004376B0"/>
    <w:rsid w:val="004406B2"/>
    <w:rsid w:val="00457E47"/>
    <w:rsid w:val="004635B8"/>
    <w:rsid w:val="004924B4"/>
    <w:rsid w:val="004B483E"/>
    <w:rsid w:val="00500B7B"/>
    <w:rsid w:val="00515B64"/>
    <w:rsid w:val="005222DD"/>
    <w:rsid w:val="00524242"/>
    <w:rsid w:val="005508F6"/>
    <w:rsid w:val="00557710"/>
    <w:rsid w:val="005A2896"/>
    <w:rsid w:val="005C5400"/>
    <w:rsid w:val="005D5619"/>
    <w:rsid w:val="005D677F"/>
    <w:rsid w:val="005E53EB"/>
    <w:rsid w:val="00620B6A"/>
    <w:rsid w:val="0062230F"/>
    <w:rsid w:val="00641D86"/>
    <w:rsid w:val="006724FB"/>
    <w:rsid w:val="006733AB"/>
    <w:rsid w:val="00695F5F"/>
    <w:rsid w:val="006964C5"/>
    <w:rsid w:val="006B44B6"/>
    <w:rsid w:val="006D311C"/>
    <w:rsid w:val="006E2701"/>
    <w:rsid w:val="006E2860"/>
    <w:rsid w:val="006F6CB2"/>
    <w:rsid w:val="00703FE7"/>
    <w:rsid w:val="00704635"/>
    <w:rsid w:val="0073166A"/>
    <w:rsid w:val="00743D3E"/>
    <w:rsid w:val="00751D56"/>
    <w:rsid w:val="007671AF"/>
    <w:rsid w:val="0077478A"/>
    <w:rsid w:val="0079652C"/>
    <w:rsid w:val="00796F91"/>
    <w:rsid w:val="007B72E0"/>
    <w:rsid w:val="007D3138"/>
    <w:rsid w:val="00804A83"/>
    <w:rsid w:val="00816D84"/>
    <w:rsid w:val="00821252"/>
    <w:rsid w:val="00825EEE"/>
    <w:rsid w:val="00843CDA"/>
    <w:rsid w:val="00855BBE"/>
    <w:rsid w:val="008647DE"/>
    <w:rsid w:val="008761E4"/>
    <w:rsid w:val="008A52EF"/>
    <w:rsid w:val="008D733D"/>
    <w:rsid w:val="008E1D53"/>
    <w:rsid w:val="008F173A"/>
    <w:rsid w:val="008F1E70"/>
    <w:rsid w:val="008F2567"/>
    <w:rsid w:val="00902BAE"/>
    <w:rsid w:val="00910FC7"/>
    <w:rsid w:val="00913D44"/>
    <w:rsid w:val="009362A8"/>
    <w:rsid w:val="009762AB"/>
    <w:rsid w:val="009A7D7C"/>
    <w:rsid w:val="009F3B83"/>
    <w:rsid w:val="00A27858"/>
    <w:rsid w:val="00A30B71"/>
    <w:rsid w:val="00A47200"/>
    <w:rsid w:val="00A50436"/>
    <w:rsid w:val="00A51F19"/>
    <w:rsid w:val="00A62DE3"/>
    <w:rsid w:val="00A67D2E"/>
    <w:rsid w:val="00A863E9"/>
    <w:rsid w:val="00A8789C"/>
    <w:rsid w:val="00AB1598"/>
    <w:rsid w:val="00AB4405"/>
    <w:rsid w:val="00AC5A41"/>
    <w:rsid w:val="00AD1A8B"/>
    <w:rsid w:val="00AE04EA"/>
    <w:rsid w:val="00AE5A7D"/>
    <w:rsid w:val="00B164D1"/>
    <w:rsid w:val="00B26A74"/>
    <w:rsid w:val="00B37095"/>
    <w:rsid w:val="00B92636"/>
    <w:rsid w:val="00B96028"/>
    <w:rsid w:val="00BC3571"/>
    <w:rsid w:val="00BF188D"/>
    <w:rsid w:val="00C03749"/>
    <w:rsid w:val="00C527E4"/>
    <w:rsid w:val="00C57205"/>
    <w:rsid w:val="00C80CFF"/>
    <w:rsid w:val="00C83B6D"/>
    <w:rsid w:val="00C93C5F"/>
    <w:rsid w:val="00C96FFF"/>
    <w:rsid w:val="00CA2532"/>
    <w:rsid w:val="00CA6C7F"/>
    <w:rsid w:val="00CB461F"/>
    <w:rsid w:val="00CB479C"/>
    <w:rsid w:val="00CB6880"/>
    <w:rsid w:val="00CB6A74"/>
    <w:rsid w:val="00CC71BB"/>
    <w:rsid w:val="00CD1349"/>
    <w:rsid w:val="00CE3B73"/>
    <w:rsid w:val="00CE644F"/>
    <w:rsid w:val="00CF2462"/>
    <w:rsid w:val="00D00003"/>
    <w:rsid w:val="00D03141"/>
    <w:rsid w:val="00D048C3"/>
    <w:rsid w:val="00D635DE"/>
    <w:rsid w:val="00D63860"/>
    <w:rsid w:val="00D8109D"/>
    <w:rsid w:val="00D97481"/>
    <w:rsid w:val="00DA0010"/>
    <w:rsid w:val="00DA2B25"/>
    <w:rsid w:val="00DB0797"/>
    <w:rsid w:val="00DB2F99"/>
    <w:rsid w:val="00DB5AE6"/>
    <w:rsid w:val="00DC1F98"/>
    <w:rsid w:val="00DC494F"/>
    <w:rsid w:val="00DC5530"/>
    <w:rsid w:val="00DD7C9D"/>
    <w:rsid w:val="00DE1A49"/>
    <w:rsid w:val="00DF38E4"/>
    <w:rsid w:val="00E1132E"/>
    <w:rsid w:val="00E11FB8"/>
    <w:rsid w:val="00E44009"/>
    <w:rsid w:val="00E7093C"/>
    <w:rsid w:val="00E72AD9"/>
    <w:rsid w:val="00E7488F"/>
    <w:rsid w:val="00EB4C83"/>
    <w:rsid w:val="00EB6AFA"/>
    <w:rsid w:val="00EB6F6C"/>
    <w:rsid w:val="00EC06C6"/>
    <w:rsid w:val="00EE0E5B"/>
    <w:rsid w:val="00EE5728"/>
    <w:rsid w:val="00F04025"/>
    <w:rsid w:val="00F06A41"/>
    <w:rsid w:val="00F3121A"/>
    <w:rsid w:val="00F33EF5"/>
    <w:rsid w:val="00F37290"/>
    <w:rsid w:val="00F42A48"/>
    <w:rsid w:val="00F542B0"/>
    <w:rsid w:val="00F70F76"/>
    <w:rsid w:val="00F76A82"/>
    <w:rsid w:val="00FD14A3"/>
    <w:rsid w:val="00FF21ED"/>
    <w:rsid w:val="00FF3549"/>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769A1E"/>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F3121A"/>
    <w:rPr>
      <w:color w:val="0563C1" w:themeColor="hyperlink"/>
      <w:u w:val="single"/>
    </w:rPr>
  </w:style>
  <w:style w:type="character" w:styleId="UnresolvedMention">
    <w:name w:val="Unresolved Mention"/>
    <w:basedOn w:val="DefaultParagraphFont"/>
    <w:uiPriority w:val="99"/>
    <w:semiHidden/>
    <w:unhideWhenUsed/>
    <w:rsid w:val="00F3121A"/>
    <w:rPr>
      <w:color w:val="605E5C"/>
      <w:shd w:val="clear" w:color="auto" w:fill="E1DFDD"/>
    </w:rPr>
  </w:style>
  <w:style w:type="paragraph" w:styleId="ListParagraph">
    <w:name w:val="List Paragraph"/>
    <w:basedOn w:val="Normal"/>
    <w:uiPriority w:val="34"/>
    <w:rsid w:val="00F04025"/>
    <w:pPr>
      <w:ind w:left="720"/>
      <w:contextualSpacing/>
    </w:pPr>
  </w:style>
  <w:style w:type="paragraph" w:styleId="BalloonText">
    <w:name w:val="Balloon Text"/>
    <w:basedOn w:val="Normal"/>
    <w:link w:val="BalloonTextChar"/>
    <w:uiPriority w:val="99"/>
    <w:semiHidden/>
    <w:unhideWhenUsed/>
    <w:rsid w:val="00F04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25"/>
    <w:rPr>
      <w:rFonts w:ascii="Segoe UI" w:hAnsi="Segoe UI" w:cs="Segoe UI"/>
      <w:sz w:val="18"/>
      <w:szCs w:val="18"/>
    </w:rPr>
  </w:style>
  <w:style w:type="character" w:styleId="CommentReference">
    <w:name w:val="annotation reference"/>
    <w:basedOn w:val="DefaultParagraphFont"/>
    <w:uiPriority w:val="99"/>
    <w:semiHidden/>
    <w:unhideWhenUsed/>
    <w:rsid w:val="00A50436"/>
    <w:rPr>
      <w:sz w:val="16"/>
      <w:szCs w:val="16"/>
    </w:rPr>
  </w:style>
  <w:style w:type="paragraph" w:styleId="CommentText">
    <w:name w:val="annotation text"/>
    <w:basedOn w:val="Normal"/>
    <w:link w:val="CommentTextChar"/>
    <w:uiPriority w:val="99"/>
    <w:semiHidden/>
    <w:unhideWhenUsed/>
    <w:rsid w:val="00A50436"/>
    <w:pPr>
      <w:spacing w:line="240" w:lineRule="auto"/>
    </w:pPr>
    <w:rPr>
      <w:sz w:val="20"/>
      <w:szCs w:val="20"/>
    </w:rPr>
  </w:style>
  <w:style w:type="character" w:customStyle="1" w:styleId="CommentTextChar">
    <w:name w:val="Comment Text Char"/>
    <w:basedOn w:val="DefaultParagraphFont"/>
    <w:link w:val="CommentText"/>
    <w:uiPriority w:val="99"/>
    <w:semiHidden/>
    <w:rsid w:val="00A504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50436"/>
    <w:rPr>
      <w:b/>
      <w:bCs/>
    </w:rPr>
  </w:style>
  <w:style w:type="character" w:customStyle="1" w:styleId="CommentSubjectChar">
    <w:name w:val="Comment Subject Char"/>
    <w:basedOn w:val="CommentTextChar"/>
    <w:link w:val="CommentSubject"/>
    <w:uiPriority w:val="99"/>
    <w:semiHidden/>
    <w:rsid w:val="00A50436"/>
    <w:rPr>
      <w:rFonts w:ascii="Arial" w:hAnsi="Arial"/>
      <w:b/>
      <w:bCs/>
      <w:sz w:val="20"/>
      <w:szCs w:val="20"/>
    </w:rPr>
  </w:style>
  <w:style w:type="paragraph" w:customStyle="1" w:styleId="Default">
    <w:name w:val="Default"/>
    <w:rsid w:val="0008735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F3C88"/>
    <w:rPr>
      <w:color w:val="954F72" w:themeColor="followedHyperlink"/>
      <w:u w:val="single"/>
    </w:rPr>
  </w:style>
  <w:style w:type="character" w:customStyle="1" w:styleId="normaltextrun">
    <w:name w:val="normaltextrun"/>
    <w:basedOn w:val="DefaultParagraphFont"/>
    <w:rsid w:val="00D00003"/>
  </w:style>
  <w:style w:type="character" w:customStyle="1" w:styleId="findhit">
    <w:name w:val="findhit"/>
    <w:basedOn w:val="DefaultParagraphFont"/>
    <w:rsid w:val="00D00003"/>
  </w:style>
  <w:style w:type="paragraph" w:customStyle="1" w:styleId="paragraph">
    <w:name w:val="paragraph"/>
    <w:basedOn w:val="Normal"/>
    <w:rsid w:val="00F06A41"/>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491707">
      <w:bodyDiv w:val="1"/>
      <w:marLeft w:val="0"/>
      <w:marRight w:val="0"/>
      <w:marTop w:val="0"/>
      <w:marBottom w:val="0"/>
      <w:divBdr>
        <w:top w:val="none" w:sz="0" w:space="0" w:color="auto"/>
        <w:left w:val="none" w:sz="0" w:space="0" w:color="auto"/>
        <w:bottom w:val="none" w:sz="0" w:space="0" w:color="auto"/>
        <w:right w:val="none" w:sz="0" w:space="0" w:color="auto"/>
      </w:divBdr>
    </w:div>
    <w:div w:id="859587923">
      <w:bodyDiv w:val="1"/>
      <w:marLeft w:val="0"/>
      <w:marRight w:val="0"/>
      <w:marTop w:val="0"/>
      <w:marBottom w:val="0"/>
      <w:divBdr>
        <w:top w:val="none" w:sz="0" w:space="0" w:color="auto"/>
        <w:left w:val="none" w:sz="0" w:space="0" w:color="auto"/>
        <w:bottom w:val="none" w:sz="0" w:space="0" w:color="auto"/>
        <w:right w:val="none" w:sz="0" w:space="0" w:color="auto"/>
      </w:divBdr>
    </w:div>
    <w:div w:id="913397366">
      <w:bodyDiv w:val="1"/>
      <w:marLeft w:val="0"/>
      <w:marRight w:val="0"/>
      <w:marTop w:val="0"/>
      <w:marBottom w:val="0"/>
      <w:divBdr>
        <w:top w:val="none" w:sz="0" w:space="0" w:color="auto"/>
        <w:left w:val="none" w:sz="0" w:space="0" w:color="auto"/>
        <w:bottom w:val="none" w:sz="0" w:space="0" w:color="auto"/>
        <w:right w:val="none" w:sz="0" w:space="0" w:color="auto"/>
      </w:divBdr>
    </w:div>
    <w:div w:id="1135411788">
      <w:bodyDiv w:val="1"/>
      <w:marLeft w:val="0"/>
      <w:marRight w:val="0"/>
      <w:marTop w:val="0"/>
      <w:marBottom w:val="0"/>
      <w:divBdr>
        <w:top w:val="none" w:sz="0" w:space="0" w:color="auto"/>
        <w:left w:val="none" w:sz="0" w:space="0" w:color="auto"/>
        <w:bottom w:val="none" w:sz="0" w:space="0" w:color="auto"/>
        <w:right w:val="none" w:sz="0" w:space="0" w:color="auto"/>
      </w:divBdr>
    </w:div>
    <w:div w:id="1263760476">
      <w:bodyDiv w:val="1"/>
      <w:marLeft w:val="0"/>
      <w:marRight w:val="0"/>
      <w:marTop w:val="0"/>
      <w:marBottom w:val="0"/>
      <w:divBdr>
        <w:top w:val="none" w:sz="0" w:space="0" w:color="auto"/>
        <w:left w:val="none" w:sz="0" w:space="0" w:color="auto"/>
        <w:bottom w:val="none" w:sz="0" w:space="0" w:color="auto"/>
        <w:right w:val="none" w:sz="0" w:space="0" w:color="auto"/>
      </w:divBdr>
    </w:div>
    <w:div w:id="1302884629">
      <w:bodyDiv w:val="1"/>
      <w:marLeft w:val="0"/>
      <w:marRight w:val="0"/>
      <w:marTop w:val="0"/>
      <w:marBottom w:val="0"/>
      <w:divBdr>
        <w:top w:val="none" w:sz="0" w:space="0" w:color="auto"/>
        <w:left w:val="none" w:sz="0" w:space="0" w:color="auto"/>
        <w:bottom w:val="none" w:sz="0" w:space="0" w:color="auto"/>
        <w:right w:val="none" w:sz="0" w:space="0" w:color="auto"/>
      </w:divBdr>
      <w:divsChild>
        <w:div w:id="1143235977">
          <w:marLeft w:val="0"/>
          <w:marRight w:val="0"/>
          <w:marTop w:val="0"/>
          <w:marBottom w:val="0"/>
          <w:divBdr>
            <w:top w:val="none" w:sz="0" w:space="0" w:color="auto"/>
            <w:left w:val="none" w:sz="0" w:space="0" w:color="auto"/>
            <w:bottom w:val="none" w:sz="0" w:space="0" w:color="auto"/>
            <w:right w:val="none" w:sz="0" w:space="0" w:color="auto"/>
          </w:divBdr>
        </w:div>
      </w:divsChild>
    </w:div>
    <w:div w:id="1388143133">
      <w:bodyDiv w:val="1"/>
      <w:marLeft w:val="0"/>
      <w:marRight w:val="0"/>
      <w:marTop w:val="0"/>
      <w:marBottom w:val="0"/>
      <w:divBdr>
        <w:top w:val="none" w:sz="0" w:space="0" w:color="auto"/>
        <w:left w:val="none" w:sz="0" w:space="0" w:color="auto"/>
        <w:bottom w:val="none" w:sz="0" w:space="0" w:color="auto"/>
        <w:right w:val="none" w:sz="0" w:space="0" w:color="auto"/>
      </w:divBdr>
    </w:div>
    <w:div w:id="1514998860">
      <w:bodyDiv w:val="1"/>
      <w:marLeft w:val="0"/>
      <w:marRight w:val="0"/>
      <w:marTop w:val="0"/>
      <w:marBottom w:val="0"/>
      <w:divBdr>
        <w:top w:val="none" w:sz="0" w:space="0" w:color="auto"/>
        <w:left w:val="none" w:sz="0" w:space="0" w:color="auto"/>
        <w:bottom w:val="none" w:sz="0" w:space="0" w:color="auto"/>
        <w:right w:val="none" w:sz="0" w:space="0" w:color="auto"/>
      </w:divBdr>
    </w:div>
    <w:div w:id="20803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peal-of-wholesale-dealer-licence-exemption-for-pharmaci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consultations/distributing-vaccines-and-treatments-for-covid-19-and-flu/consultation-document-changes-to-human-medicine-regulations-to-support-the-rollout-of-covid-19-vacci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otocol-for-ordering-storing-and-handling-vaccin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s.nhs.uk/articles/patient-group-direction-use-in-primary-care-network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99FCC-AC24-487C-BDB5-7CBDD847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Sam Carguillo</cp:lastModifiedBy>
  <cp:revision>5</cp:revision>
  <cp:lastPrinted>2019-11-07T08:40:00Z</cp:lastPrinted>
  <dcterms:created xsi:type="dcterms:W3CDTF">2020-09-10T08:45:00Z</dcterms:created>
  <dcterms:modified xsi:type="dcterms:W3CDTF">2020-09-16T14:58:00Z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