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03" w:rsidRDefault="00306F03" w:rsidP="00306F03">
      <w:pPr>
        <w:jc w:val="center"/>
        <w:rPr>
          <w:b/>
          <w:lang w:val="en"/>
        </w:rPr>
      </w:pPr>
      <w:r>
        <w:rPr>
          <w:b/>
          <w:lang w:val="en"/>
        </w:rPr>
        <w:t>GREEN IMPACT FOR HEALTH</w:t>
      </w:r>
    </w:p>
    <w:p w:rsidR="00306F03" w:rsidRPr="00306F03" w:rsidRDefault="00306F03" w:rsidP="00306F03">
      <w:pPr>
        <w:jc w:val="center"/>
        <w:rPr>
          <w:b/>
          <w:lang w:val="en"/>
        </w:rPr>
      </w:pPr>
      <w:r>
        <w:rPr>
          <w:b/>
          <w:lang w:val="en"/>
        </w:rPr>
        <w:t>Helping practices improve the sustainability of primary care in Somerset</w:t>
      </w:r>
    </w:p>
    <w:p w:rsidR="00306F03" w:rsidRDefault="002C2393" w:rsidP="00A62838">
      <w:pPr>
        <w:rPr>
          <w:lang w:val="en"/>
        </w:rPr>
      </w:pPr>
      <w:r w:rsidRPr="002C2393">
        <w:rPr>
          <w:lang w:val="en"/>
        </w:rPr>
        <w:t xml:space="preserve">Somerset CCG and Somerset LMC </w:t>
      </w:r>
      <w:proofErr w:type="spellStart"/>
      <w:r w:rsidRPr="002C2393">
        <w:rPr>
          <w:lang w:val="en"/>
        </w:rPr>
        <w:t>recognise</w:t>
      </w:r>
      <w:proofErr w:type="spellEnd"/>
      <w:r w:rsidRPr="002C2393">
        <w:rPr>
          <w:lang w:val="en"/>
        </w:rPr>
        <w:t xml:space="preserve"> that many practices have concerns about the current climate crisis</w:t>
      </w:r>
      <w:r>
        <w:rPr>
          <w:lang w:val="en"/>
        </w:rPr>
        <w:t xml:space="preserve"> and are</w:t>
      </w:r>
      <w:r w:rsidRPr="002C2393">
        <w:rPr>
          <w:lang w:val="en"/>
        </w:rPr>
        <w:t xml:space="preserve"> interested in finding practical ways that general practice and primary care can make a difference. Therefore this year the Somerset PCIS will include some criteria that will help you with this. The criteria are taken from the RCGP’s Green Impact for Health award scheme which since it started 5 years ago has grown </w:t>
      </w:r>
      <w:r>
        <w:rPr>
          <w:lang w:val="en"/>
        </w:rPr>
        <w:t xml:space="preserve">and now has over 700 practices </w:t>
      </w:r>
      <w:r w:rsidRPr="002C2393">
        <w:rPr>
          <w:lang w:val="en"/>
        </w:rPr>
        <w:t>working towards the scheme’s criteria</w:t>
      </w:r>
      <w:r>
        <w:rPr>
          <w:lang w:val="en"/>
        </w:rPr>
        <w:t>.</w:t>
      </w:r>
    </w:p>
    <w:p w:rsidR="000943F7" w:rsidRDefault="00306F03" w:rsidP="00A62838">
      <w:pPr>
        <w:rPr>
          <w:lang w:val="en"/>
        </w:rPr>
      </w:pPr>
      <w:r w:rsidRPr="00306F03">
        <w:rPr>
          <w:lang w:val="en"/>
        </w:rPr>
        <w:t>Sustainable Healthcare is the concept of providing healthcare in a way that is beneficial to patients without harming the planet. Green Impact for Health provides guidance about the small changes that will improve quality, save money and improve the environmental sustainability of your practice.</w:t>
      </w:r>
      <w:r w:rsidR="00076C1F">
        <w:rPr>
          <w:lang w:val="en"/>
        </w:rPr>
        <w:t xml:space="preserve"> </w:t>
      </w:r>
      <w:r w:rsidR="00F42ED2" w:rsidRPr="00F42ED2">
        <w:rPr>
          <w:lang w:val="en"/>
        </w:rPr>
        <w:t xml:space="preserve">Each </w:t>
      </w:r>
      <w:r w:rsidR="00F42ED2">
        <w:rPr>
          <w:lang w:val="en"/>
        </w:rPr>
        <w:t>of the GIH’s small changes support</w:t>
      </w:r>
      <w:r w:rsidR="00F42ED2" w:rsidRPr="00F42ED2">
        <w:rPr>
          <w:lang w:val="en"/>
        </w:rPr>
        <w:t xml:space="preserve"> the UN 2030 Agenda for Sustainable Development </w:t>
      </w:r>
      <w:r w:rsidR="00F42ED2">
        <w:rPr>
          <w:lang w:val="en"/>
        </w:rPr>
        <w:t xml:space="preserve">and making some of </w:t>
      </w:r>
      <w:r w:rsidR="00076C1F">
        <w:rPr>
          <w:lang w:val="en"/>
        </w:rPr>
        <w:t xml:space="preserve">these </w:t>
      </w:r>
      <w:r w:rsidR="003C4765">
        <w:rPr>
          <w:lang w:val="en"/>
        </w:rPr>
        <w:t xml:space="preserve">small changes </w:t>
      </w:r>
      <w:r w:rsidR="00076C1F">
        <w:rPr>
          <w:lang w:val="en"/>
        </w:rPr>
        <w:t>will be an achievement for a</w:t>
      </w:r>
      <w:r w:rsidR="00F42ED2">
        <w:rPr>
          <w:lang w:val="en"/>
        </w:rPr>
        <w:t>ny</w:t>
      </w:r>
      <w:r w:rsidR="00076C1F">
        <w:rPr>
          <w:lang w:val="en"/>
        </w:rPr>
        <w:t xml:space="preserve"> practice</w:t>
      </w:r>
      <w:r w:rsidR="00F42ED2">
        <w:rPr>
          <w:lang w:val="en"/>
        </w:rPr>
        <w:t>.</w:t>
      </w:r>
    </w:p>
    <w:p w:rsidR="000943F7" w:rsidRDefault="00F42ED2" w:rsidP="00A62838">
      <w:pPr>
        <w:rPr>
          <w:lang w:val="en"/>
        </w:rPr>
      </w:pPr>
      <w:r>
        <w:rPr>
          <w:lang w:val="en"/>
        </w:rPr>
        <w:t xml:space="preserve"> We know that some Somerset practices are already working through the required sets of actions to </w:t>
      </w:r>
      <w:r w:rsidR="00076C1F">
        <w:rPr>
          <w:lang w:val="en"/>
        </w:rPr>
        <w:t>attain the bronze, silver or gold levels of the Green Impact for Health award</w:t>
      </w:r>
      <w:r>
        <w:rPr>
          <w:lang w:val="en"/>
        </w:rPr>
        <w:t xml:space="preserve">. </w:t>
      </w:r>
      <w:r w:rsidR="000943F7" w:rsidRPr="000943F7">
        <w:rPr>
          <w:lang w:val="en"/>
        </w:rPr>
        <w:t>The GIH bronze level incl</w:t>
      </w:r>
      <w:r w:rsidR="000943F7">
        <w:rPr>
          <w:lang w:val="en"/>
        </w:rPr>
        <w:t xml:space="preserve">udes 24 actions worth in total </w:t>
      </w:r>
      <w:r w:rsidR="000943F7" w:rsidRPr="000943F7">
        <w:rPr>
          <w:lang w:val="en"/>
        </w:rPr>
        <w:t xml:space="preserve">100 points. To gain the Bronze level award from RCGP a practice has to demonstrate that it has achieved actions worth 75 points. </w:t>
      </w:r>
      <w:bookmarkStart w:id="0" w:name="_GoBack"/>
      <w:bookmarkEnd w:id="0"/>
    </w:p>
    <w:p w:rsidR="00813FE4" w:rsidRDefault="00F42ED2" w:rsidP="00A62838">
      <w:pPr>
        <w:rPr>
          <w:lang w:val="en"/>
        </w:rPr>
      </w:pPr>
      <w:r>
        <w:rPr>
          <w:lang w:val="en"/>
        </w:rPr>
        <w:t xml:space="preserve">We </w:t>
      </w:r>
      <w:proofErr w:type="spellStart"/>
      <w:r>
        <w:rPr>
          <w:lang w:val="en"/>
        </w:rPr>
        <w:t>recognise</w:t>
      </w:r>
      <w:proofErr w:type="spellEnd"/>
      <w:r>
        <w:rPr>
          <w:lang w:val="en"/>
        </w:rPr>
        <w:t xml:space="preserve"> that not every practice will want or be able to</w:t>
      </w:r>
      <w:r w:rsidR="000943F7">
        <w:rPr>
          <w:lang w:val="en"/>
        </w:rPr>
        <w:t xml:space="preserve"> do this at </w:t>
      </w:r>
      <w:r>
        <w:rPr>
          <w:lang w:val="en"/>
        </w:rPr>
        <w:t xml:space="preserve">the moment but we believe </w:t>
      </w:r>
      <w:r w:rsidR="000943F7">
        <w:rPr>
          <w:lang w:val="en"/>
        </w:rPr>
        <w:t xml:space="preserve">that </w:t>
      </w:r>
      <w:r>
        <w:rPr>
          <w:lang w:val="en"/>
        </w:rPr>
        <w:t>every practice will be interested in making a start and achieving some of the small changes included in the schemes bronze level.</w:t>
      </w:r>
      <w:r w:rsidR="000943F7">
        <w:rPr>
          <w:lang w:val="en"/>
        </w:rPr>
        <w:t xml:space="preserve"> Therefore to qualify for the Somerset PCIS payment in sustainable healthcare a pra</w:t>
      </w:r>
      <w:r w:rsidR="00813FE4">
        <w:rPr>
          <w:lang w:val="en"/>
        </w:rPr>
        <w:t>ctice should:</w:t>
      </w:r>
    </w:p>
    <w:p w:rsidR="000943F7" w:rsidRPr="00813FE4" w:rsidRDefault="00813FE4" w:rsidP="00813FE4">
      <w:pPr>
        <w:pStyle w:val="ListParagraph"/>
        <w:numPr>
          <w:ilvl w:val="0"/>
          <w:numId w:val="4"/>
        </w:numPr>
        <w:rPr>
          <w:lang w:val="en"/>
        </w:rPr>
      </w:pPr>
      <w:r w:rsidRPr="00813FE4">
        <w:rPr>
          <w:lang w:val="en"/>
        </w:rPr>
        <w:t xml:space="preserve">Practice manager and relevant other members of the practice individually </w:t>
      </w:r>
      <w:r w:rsidR="000943F7" w:rsidRPr="00813FE4">
        <w:rPr>
          <w:lang w:val="en"/>
        </w:rPr>
        <w:t xml:space="preserve">register on </w:t>
      </w:r>
      <w:r w:rsidRPr="00813FE4">
        <w:rPr>
          <w:lang w:val="en"/>
        </w:rPr>
        <w:t xml:space="preserve">the RCGP Green Impact for Health toolkit. Do this at </w:t>
      </w:r>
      <w:hyperlink r:id="rId6" w:history="1">
        <w:r w:rsidRPr="00813FE4">
          <w:rPr>
            <w:rStyle w:val="Hyperlink"/>
            <w:lang w:val="en"/>
          </w:rPr>
          <w:t>https://www.greenimpact.org.uk/giforhealth/register</w:t>
        </w:r>
      </w:hyperlink>
    </w:p>
    <w:p w:rsidR="00E05938" w:rsidRDefault="00813FE4" w:rsidP="00771186">
      <w:pPr>
        <w:ind w:firstLine="720"/>
        <w:rPr>
          <w:lang w:val="en"/>
        </w:rPr>
      </w:pPr>
      <w:r>
        <w:rPr>
          <w:lang w:val="en"/>
        </w:rPr>
        <w:t>(The required registration code is 134)</w:t>
      </w:r>
      <w:r w:rsidR="00E05938">
        <w:rPr>
          <w:lang w:val="en"/>
        </w:rPr>
        <w:t xml:space="preserve"> </w:t>
      </w:r>
    </w:p>
    <w:p w:rsidR="00A62838" w:rsidRPr="00511643" w:rsidRDefault="00E05938" w:rsidP="00511643">
      <w:pPr>
        <w:pStyle w:val="ListParagraph"/>
        <w:numPr>
          <w:ilvl w:val="0"/>
          <w:numId w:val="4"/>
        </w:numPr>
        <w:rPr>
          <w:lang w:val="en"/>
        </w:rPr>
      </w:pPr>
      <w:r>
        <w:rPr>
          <w:lang w:val="en"/>
        </w:rPr>
        <w:t xml:space="preserve">Select and complete actions worth at least 25 points from the bronze level.  </w:t>
      </w:r>
      <w:r w:rsidR="006D26F5">
        <w:rPr>
          <w:lang w:val="en"/>
        </w:rPr>
        <w:t xml:space="preserve">The LMC will be proactively supporting all practices to do this. </w:t>
      </w:r>
    </w:p>
    <w:tbl>
      <w:tblPr>
        <w:tblStyle w:val="TableGrid"/>
        <w:tblW w:w="10207" w:type="dxa"/>
        <w:tblInd w:w="-318" w:type="dxa"/>
        <w:tblLook w:val="04A0" w:firstRow="1" w:lastRow="0" w:firstColumn="1" w:lastColumn="0" w:noHBand="0" w:noVBand="1"/>
      </w:tblPr>
      <w:tblGrid>
        <w:gridCol w:w="1129"/>
        <w:gridCol w:w="6527"/>
        <w:gridCol w:w="992"/>
        <w:gridCol w:w="1559"/>
      </w:tblGrid>
      <w:tr w:rsidR="00271006" w:rsidTr="00271006">
        <w:tc>
          <w:tcPr>
            <w:tcW w:w="1129" w:type="dxa"/>
          </w:tcPr>
          <w:p w:rsidR="00271006" w:rsidRPr="00E05938" w:rsidRDefault="00E05938" w:rsidP="007C0038">
            <w:pPr>
              <w:rPr>
                <w:b/>
              </w:rPr>
            </w:pPr>
            <w:r w:rsidRPr="00E05938">
              <w:rPr>
                <w:b/>
              </w:rPr>
              <w:t>ACTION NUMBER</w:t>
            </w:r>
          </w:p>
        </w:tc>
        <w:tc>
          <w:tcPr>
            <w:tcW w:w="6527" w:type="dxa"/>
          </w:tcPr>
          <w:p w:rsidR="00271006" w:rsidRPr="00E05938" w:rsidRDefault="00E05938" w:rsidP="007C0038">
            <w:pPr>
              <w:rPr>
                <w:b/>
              </w:rPr>
            </w:pPr>
            <w:r w:rsidRPr="00E05938">
              <w:rPr>
                <w:b/>
              </w:rPr>
              <w:t>CRITERIA</w:t>
            </w:r>
          </w:p>
        </w:tc>
        <w:tc>
          <w:tcPr>
            <w:tcW w:w="992" w:type="dxa"/>
          </w:tcPr>
          <w:p w:rsidR="00271006" w:rsidRPr="00271006" w:rsidRDefault="00271006" w:rsidP="007C0038">
            <w:pPr>
              <w:rPr>
                <w:b/>
              </w:rPr>
            </w:pPr>
            <w:r>
              <w:rPr>
                <w:b/>
              </w:rPr>
              <w:t>POINTS</w:t>
            </w:r>
          </w:p>
        </w:tc>
        <w:tc>
          <w:tcPr>
            <w:tcW w:w="1559" w:type="dxa"/>
          </w:tcPr>
          <w:p w:rsidR="00271006" w:rsidRDefault="00271006" w:rsidP="007C0038"/>
        </w:tc>
      </w:tr>
      <w:tr w:rsidR="00271006" w:rsidTr="00271006">
        <w:tc>
          <w:tcPr>
            <w:tcW w:w="1129" w:type="dxa"/>
          </w:tcPr>
          <w:p w:rsidR="00271006" w:rsidRDefault="00271006" w:rsidP="007C0038">
            <w:r>
              <w:t>B001</w:t>
            </w:r>
          </w:p>
        </w:tc>
        <w:tc>
          <w:tcPr>
            <w:tcW w:w="6527" w:type="dxa"/>
          </w:tcPr>
          <w:p w:rsidR="00271006" w:rsidRDefault="00271006" w:rsidP="007C0038">
            <w:r w:rsidRPr="007C0038">
              <w:t>EITHER all tea and coffee purchased by the practice for staff is Fairtrade certified</w:t>
            </w:r>
            <w:r w:rsidRPr="007C0038">
              <w:br/>
              <w:t>OR a poster is up in the tearoom explaining the benefits of buying Fairtrade products.</w:t>
            </w:r>
            <w:r w:rsidRPr="007C0038">
              <w:br/>
              <w:t>(This only refers to tea or coffee bought with practice money, not products bought by staff)</w:t>
            </w:r>
          </w:p>
        </w:tc>
        <w:tc>
          <w:tcPr>
            <w:tcW w:w="992" w:type="dxa"/>
          </w:tcPr>
          <w:p w:rsidR="00271006" w:rsidRDefault="00271006" w:rsidP="007C0038">
            <w:r>
              <w:t>2</w:t>
            </w:r>
          </w:p>
        </w:tc>
        <w:tc>
          <w:tcPr>
            <w:tcW w:w="1559" w:type="dxa"/>
          </w:tcPr>
          <w:p w:rsidR="00271006" w:rsidRDefault="00271006" w:rsidP="007C0038"/>
        </w:tc>
      </w:tr>
      <w:tr w:rsidR="00271006" w:rsidTr="00271006">
        <w:tc>
          <w:tcPr>
            <w:tcW w:w="1129" w:type="dxa"/>
          </w:tcPr>
          <w:p w:rsidR="00271006" w:rsidRDefault="00271006" w:rsidP="007C0038">
            <w:r>
              <w:t>B002</w:t>
            </w:r>
          </w:p>
        </w:tc>
        <w:tc>
          <w:tcPr>
            <w:tcW w:w="6527" w:type="dxa"/>
          </w:tcPr>
          <w:p w:rsidR="00271006" w:rsidRDefault="00271006" w:rsidP="007C0038">
            <w:r w:rsidRPr="00226EE2">
              <w:t xml:space="preserve">Clear guidance on how </w:t>
            </w:r>
            <w:proofErr w:type="gramStart"/>
            <w:r w:rsidRPr="00226EE2">
              <w:t>staff can</w:t>
            </w:r>
            <w:proofErr w:type="gramEnd"/>
            <w:r w:rsidRPr="00226EE2">
              <w:t xml:space="preserve"> double-side copy is posted within readable distance of each photocopier </w:t>
            </w:r>
            <w:r w:rsidRPr="00226EE2">
              <w:br/>
              <w:t>AND the practice collects its waste non-confidential A4 paper printed on one side only, and rather than sending it for recycling, the practice reuses it or donates it to an organisation for reuse.</w:t>
            </w:r>
          </w:p>
          <w:p w:rsidR="00271006" w:rsidRDefault="00271006" w:rsidP="007C0038"/>
        </w:tc>
        <w:tc>
          <w:tcPr>
            <w:tcW w:w="992" w:type="dxa"/>
          </w:tcPr>
          <w:p w:rsidR="00271006" w:rsidRDefault="00271006" w:rsidP="007C0038">
            <w:r>
              <w:t>3</w:t>
            </w:r>
          </w:p>
        </w:tc>
        <w:tc>
          <w:tcPr>
            <w:tcW w:w="1559" w:type="dxa"/>
          </w:tcPr>
          <w:p w:rsidR="00271006" w:rsidRDefault="00271006" w:rsidP="007C0038"/>
        </w:tc>
      </w:tr>
      <w:tr w:rsidR="00271006" w:rsidTr="00271006">
        <w:tc>
          <w:tcPr>
            <w:tcW w:w="1129" w:type="dxa"/>
          </w:tcPr>
          <w:p w:rsidR="00271006" w:rsidRDefault="00271006" w:rsidP="007C0038">
            <w:r>
              <w:lastRenderedPageBreak/>
              <w:t>B003</w:t>
            </w:r>
          </w:p>
        </w:tc>
        <w:tc>
          <w:tcPr>
            <w:tcW w:w="6527" w:type="dxa"/>
          </w:tcPr>
          <w:p w:rsidR="00271006" w:rsidRDefault="00271006" w:rsidP="007C0038">
            <w:r w:rsidRPr="007C0038">
              <w:t xml:space="preserve">The practice publicises the availability of the nearest pharmacies taking part in the GSK "Complete the Cycle" Inhaler Recycling Scheme.                                                                                                                                                                                                                                                                                                                           </w:t>
            </w:r>
          </w:p>
        </w:tc>
        <w:tc>
          <w:tcPr>
            <w:tcW w:w="992" w:type="dxa"/>
          </w:tcPr>
          <w:p w:rsidR="00271006" w:rsidRDefault="006E7E55" w:rsidP="007C0038">
            <w:r>
              <w:t>3</w:t>
            </w:r>
          </w:p>
        </w:tc>
        <w:tc>
          <w:tcPr>
            <w:tcW w:w="1559" w:type="dxa"/>
          </w:tcPr>
          <w:p w:rsidR="00271006" w:rsidRDefault="00271006" w:rsidP="007C0038"/>
        </w:tc>
      </w:tr>
      <w:tr w:rsidR="00271006" w:rsidTr="00271006">
        <w:tc>
          <w:tcPr>
            <w:tcW w:w="1129" w:type="dxa"/>
          </w:tcPr>
          <w:p w:rsidR="00271006" w:rsidRDefault="00271006" w:rsidP="007C0038">
            <w:r>
              <w:t>B004</w:t>
            </w:r>
          </w:p>
        </w:tc>
        <w:tc>
          <w:tcPr>
            <w:tcW w:w="6527" w:type="dxa"/>
          </w:tcPr>
          <w:p w:rsidR="00271006" w:rsidRDefault="00271006" w:rsidP="00F20649">
            <w:r w:rsidRPr="005C2A46">
              <w:t>All plain A4 white copier/printer/fax paper bought by the practice meets at least one of the following options</w:t>
            </w:r>
            <w:proofErr w:type="gramStart"/>
            <w:r w:rsidRPr="005C2A46">
              <w:t>:</w:t>
            </w:r>
            <w:proofErr w:type="gramEnd"/>
            <w:r w:rsidRPr="005C2A46">
              <w:br/>
              <w:t>• made from at least 70% recycled paper;</w:t>
            </w:r>
            <w:r w:rsidRPr="005C2A46">
              <w:br/>
              <w:t>• made from [NAPM] accredited recycled paper;</w:t>
            </w:r>
            <w:r w:rsidRPr="005C2A46">
              <w:br/>
              <w:t>• made from pulp from [FSC] [certified sustainable sources].</w:t>
            </w:r>
            <w:r w:rsidRPr="005C2A46">
              <w:br/>
            </w:r>
          </w:p>
        </w:tc>
        <w:tc>
          <w:tcPr>
            <w:tcW w:w="992" w:type="dxa"/>
          </w:tcPr>
          <w:p w:rsidR="00271006" w:rsidRDefault="006E7E55" w:rsidP="007C0038">
            <w:r>
              <w:t>3</w:t>
            </w:r>
          </w:p>
        </w:tc>
        <w:tc>
          <w:tcPr>
            <w:tcW w:w="1559" w:type="dxa"/>
          </w:tcPr>
          <w:p w:rsidR="00271006" w:rsidRDefault="00271006" w:rsidP="007C0038"/>
        </w:tc>
      </w:tr>
      <w:tr w:rsidR="00271006" w:rsidTr="00271006">
        <w:tc>
          <w:tcPr>
            <w:tcW w:w="1129" w:type="dxa"/>
          </w:tcPr>
          <w:p w:rsidR="00271006" w:rsidRDefault="00271006" w:rsidP="007C0038">
            <w:r>
              <w:t>B005</w:t>
            </w:r>
          </w:p>
        </w:tc>
        <w:tc>
          <w:tcPr>
            <w:tcW w:w="6527" w:type="dxa"/>
          </w:tcPr>
          <w:p w:rsidR="00271006" w:rsidRDefault="00271006" w:rsidP="00F20649">
            <w:r w:rsidRPr="00F20649">
              <w:t xml:space="preserve">The practice has used energy monitors to establish the energy use of the whole practice or individual electrical devices. </w:t>
            </w:r>
            <w:r w:rsidRPr="00F20649">
              <w:br/>
            </w:r>
          </w:p>
        </w:tc>
        <w:tc>
          <w:tcPr>
            <w:tcW w:w="992" w:type="dxa"/>
          </w:tcPr>
          <w:p w:rsidR="00271006" w:rsidRDefault="006E7E55" w:rsidP="007C0038">
            <w:r>
              <w:t>3</w:t>
            </w:r>
          </w:p>
        </w:tc>
        <w:tc>
          <w:tcPr>
            <w:tcW w:w="1559" w:type="dxa"/>
          </w:tcPr>
          <w:p w:rsidR="00271006" w:rsidRDefault="00271006" w:rsidP="007C0038"/>
        </w:tc>
      </w:tr>
      <w:tr w:rsidR="00271006" w:rsidTr="00271006">
        <w:tc>
          <w:tcPr>
            <w:tcW w:w="1129" w:type="dxa"/>
          </w:tcPr>
          <w:p w:rsidR="00271006" w:rsidRDefault="00271006" w:rsidP="007C0038">
            <w:r>
              <w:t>B006</w:t>
            </w:r>
          </w:p>
        </w:tc>
        <w:tc>
          <w:tcPr>
            <w:tcW w:w="6527" w:type="dxa"/>
          </w:tcPr>
          <w:p w:rsidR="00271006" w:rsidRPr="00F20649" w:rsidRDefault="00271006" w:rsidP="00F20649">
            <w:r w:rsidRPr="00F20649">
              <w:t>At least one member of healthcare staff has engaged in learning or attended training on social prescribing and is identified as the practice Social prescribing champion or coordinator.          The champion should be aware of the benefits of Green and Blue prescribing, ( to nature or water)</w:t>
            </w:r>
            <w:r w:rsidRPr="00F20649">
              <w:br/>
            </w:r>
          </w:p>
          <w:p w:rsidR="00271006" w:rsidRDefault="00271006" w:rsidP="007C0038"/>
        </w:tc>
        <w:tc>
          <w:tcPr>
            <w:tcW w:w="992" w:type="dxa"/>
          </w:tcPr>
          <w:p w:rsidR="00271006" w:rsidRDefault="006E7E55" w:rsidP="007C0038">
            <w:r>
              <w:t>6</w:t>
            </w:r>
          </w:p>
        </w:tc>
        <w:tc>
          <w:tcPr>
            <w:tcW w:w="1559" w:type="dxa"/>
          </w:tcPr>
          <w:p w:rsidR="00271006" w:rsidRDefault="00271006" w:rsidP="007C0038"/>
        </w:tc>
      </w:tr>
      <w:tr w:rsidR="00271006" w:rsidTr="00271006">
        <w:tc>
          <w:tcPr>
            <w:tcW w:w="1129" w:type="dxa"/>
          </w:tcPr>
          <w:p w:rsidR="00271006" w:rsidRDefault="00271006" w:rsidP="007C0038">
            <w:r>
              <w:t>B007</w:t>
            </w:r>
          </w:p>
        </w:tc>
        <w:tc>
          <w:tcPr>
            <w:tcW w:w="6527" w:type="dxa"/>
          </w:tcPr>
          <w:p w:rsidR="00271006" w:rsidRPr="000A3323" w:rsidRDefault="00271006" w:rsidP="000A3323">
            <w:r w:rsidRPr="000A3323">
              <w:t xml:space="preserve">The practice has accessed the </w:t>
            </w:r>
            <w:proofErr w:type="gramStart"/>
            <w:r w:rsidRPr="000A3323">
              <w:t>national  [</w:t>
            </w:r>
            <w:proofErr w:type="gramEnd"/>
            <w:r w:rsidRPr="000A3323">
              <w:t>www.openprescribing.net] and has looked at the GP Dashboard for their practice, or uses their local preferred alternative (e.g. Eclipse). Someone in the practice receives regular email alerts on the p</w:t>
            </w:r>
            <w:r>
              <w:t xml:space="preserve">rescribing trends. </w:t>
            </w:r>
          </w:p>
          <w:p w:rsidR="00271006" w:rsidRDefault="00271006" w:rsidP="007C0038"/>
        </w:tc>
        <w:tc>
          <w:tcPr>
            <w:tcW w:w="992" w:type="dxa"/>
          </w:tcPr>
          <w:p w:rsidR="00271006" w:rsidRDefault="006E7E55" w:rsidP="007C0038">
            <w:r>
              <w:t>3</w:t>
            </w:r>
          </w:p>
        </w:tc>
        <w:tc>
          <w:tcPr>
            <w:tcW w:w="1559" w:type="dxa"/>
          </w:tcPr>
          <w:p w:rsidR="00271006" w:rsidRDefault="00271006" w:rsidP="007C0038"/>
        </w:tc>
      </w:tr>
      <w:tr w:rsidR="00271006" w:rsidTr="00271006">
        <w:tc>
          <w:tcPr>
            <w:tcW w:w="1129" w:type="dxa"/>
          </w:tcPr>
          <w:p w:rsidR="00271006" w:rsidRDefault="00271006" w:rsidP="007C0038">
            <w:r>
              <w:t>B008</w:t>
            </w:r>
          </w:p>
        </w:tc>
        <w:tc>
          <w:tcPr>
            <w:tcW w:w="6527" w:type="dxa"/>
          </w:tcPr>
          <w:p w:rsidR="00271006" w:rsidRPr="000A3323" w:rsidRDefault="00271006" w:rsidP="000A3323">
            <w:r w:rsidRPr="000A3323">
              <w:t>The practice newsletter or website has promoted the practice's participation in the Green Impact scheme.</w:t>
            </w:r>
          </w:p>
          <w:p w:rsidR="00271006" w:rsidRDefault="00271006" w:rsidP="007C0038"/>
        </w:tc>
        <w:tc>
          <w:tcPr>
            <w:tcW w:w="992" w:type="dxa"/>
          </w:tcPr>
          <w:p w:rsidR="00271006" w:rsidRDefault="006E7E55" w:rsidP="007C0038">
            <w:r>
              <w:t>3</w:t>
            </w:r>
          </w:p>
        </w:tc>
        <w:tc>
          <w:tcPr>
            <w:tcW w:w="1559" w:type="dxa"/>
          </w:tcPr>
          <w:p w:rsidR="00271006" w:rsidRDefault="00271006" w:rsidP="007C0038"/>
        </w:tc>
      </w:tr>
      <w:tr w:rsidR="00271006" w:rsidTr="00271006">
        <w:tc>
          <w:tcPr>
            <w:tcW w:w="1129" w:type="dxa"/>
          </w:tcPr>
          <w:p w:rsidR="00271006" w:rsidRDefault="00271006" w:rsidP="007C0038">
            <w:r>
              <w:t>B009</w:t>
            </w:r>
          </w:p>
        </w:tc>
        <w:tc>
          <w:tcPr>
            <w:tcW w:w="6527" w:type="dxa"/>
          </w:tcPr>
          <w:p w:rsidR="00271006" w:rsidRDefault="00271006" w:rsidP="000A3323">
            <w:r w:rsidRPr="000A3323">
              <w:t>The practice can show evidence of considering the use of renewable energy technology.</w:t>
            </w:r>
            <w:r w:rsidRPr="000A3323">
              <w:br/>
            </w:r>
          </w:p>
        </w:tc>
        <w:tc>
          <w:tcPr>
            <w:tcW w:w="992" w:type="dxa"/>
          </w:tcPr>
          <w:p w:rsidR="00271006" w:rsidRDefault="006E7E55" w:rsidP="007C0038">
            <w:r>
              <w:t>6</w:t>
            </w:r>
          </w:p>
        </w:tc>
        <w:tc>
          <w:tcPr>
            <w:tcW w:w="1559" w:type="dxa"/>
          </w:tcPr>
          <w:p w:rsidR="00271006" w:rsidRDefault="00271006" w:rsidP="007C0038"/>
        </w:tc>
      </w:tr>
      <w:tr w:rsidR="00271006" w:rsidTr="00271006">
        <w:tc>
          <w:tcPr>
            <w:tcW w:w="1129" w:type="dxa"/>
          </w:tcPr>
          <w:p w:rsidR="00271006" w:rsidRDefault="00271006" w:rsidP="007C0038">
            <w:r>
              <w:t>B010</w:t>
            </w:r>
          </w:p>
        </w:tc>
        <w:tc>
          <w:tcPr>
            <w:tcW w:w="6527" w:type="dxa"/>
          </w:tcPr>
          <w:p w:rsidR="00271006" w:rsidRDefault="00271006" w:rsidP="000A3323">
            <w:r w:rsidRPr="000A3323">
              <w:t xml:space="preserve">All staff within the practice </w:t>
            </w:r>
            <w:proofErr w:type="gramStart"/>
            <w:r w:rsidRPr="000A3323">
              <w:t>have</w:t>
            </w:r>
            <w:proofErr w:type="gramEnd"/>
            <w:r w:rsidRPr="000A3323">
              <w:t xml:space="preserve"> been reminded about the difference between the waste bins (e.g. clinical, offensive, hazardous and domestic waste) within the last 6 months. Waste bins are clearly labelled. </w:t>
            </w:r>
            <w:r w:rsidRPr="000A3323">
              <w:br/>
            </w:r>
          </w:p>
        </w:tc>
        <w:tc>
          <w:tcPr>
            <w:tcW w:w="992" w:type="dxa"/>
          </w:tcPr>
          <w:p w:rsidR="00271006" w:rsidRDefault="006E7E55" w:rsidP="007C0038">
            <w:r>
              <w:t>6</w:t>
            </w:r>
          </w:p>
        </w:tc>
        <w:tc>
          <w:tcPr>
            <w:tcW w:w="1559" w:type="dxa"/>
          </w:tcPr>
          <w:p w:rsidR="00271006" w:rsidRDefault="00271006" w:rsidP="007C0038"/>
        </w:tc>
      </w:tr>
      <w:tr w:rsidR="00271006" w:rsidTr="00271006">
        <w:tc>
          <w:tcPr>
            <w:tcW w:w="1129" w:type="dxa"/>
          </w:tcPr>
          <w:p w:rsidR="00271006" w:rsidRDefault="00271006" w:rsidP="007C0038">
            <w:r>
              <w:t>B011</w:t>
            </w:r>
          </w:p>
        </w:tc>
        <w:tc>
          <w:tcPr>
            <w:tcW w:w="6527" w:type="dxa"/>
          </w:tcPr>
          <w:p w:rsidR="00271006" w:rsidRPr="000A3323" w:rsidRDefault="00271006" w:rsidP="000A3323">
            <w:r w:rsidRPr="000A3323">
              <w:t>The practice has accessed appropriate on line resources about sustainability to access up to date information.</w:t>
            </w:r>
          </w:p>
          <w:p w:rsidR="00271006" w:rsidRDefault="00271006" w:rsidP="007C0038"/>
        </w:tc>
        <w:tc>
          <w:tcPr>
            <w:tcW w:w="992" w:type="dxa"/>
          </w:tcPr>
          <w:p w:rsidR="00271006" w:rsidRDefault="006E7E55" w:rsidP="007C0038">
            <w:r>
              <w:t>3</w:t>
            </w:r>
          </w:p>
        </w:tc>
        <w:tc>
          <w:tcPr>
            <w:tcW w:w="1559" w:type="dxa"/>
          </w:tcPr>
          <w:p w:rsidR="00271006" w:rsidRDefault="00271006" w:rsidP="007C0038"/>
        </w:tc>
      </w:tr>
      <w:tr w:rsidR="00271006" w:rsidTr="00271006">
        <w:tc>
          <w:tcPr>
            <w:tcW w:w="1129" w:type="dxa"/>
          </w:tcPr>
          <w:p w:rsidR="00271006" w:rsidRDefault="00271006" w:rsidP="007C0038">
            <w:r>
              <w:t>B012</w:t>
            </w:r>
          </w:p>
        </w:tc>
        <w:tc>
          <w:tcPr>
            <w:tcW w:w="6527" w:type="dxa"/>
          </w:tcPr>
          <w:p w:rsidR="00271006" w:rsidRDefault="00271006" w:rsidP="0077612C">
            <w:r w:rsidRPr="000A3323">
              <w:t xml:space="preserve">The practice has made a plan to address the problems of fuel poverty within vulnerable population groups in line with NICE guidance. This plan should include the identification of vulnerable patients, asking these patients about keeping warm at home and a process for referral to a single point of access. </w:t>
            </w:r>
            <w:r w:rsidRPr="000A3323">
              <w:br/>
            </w:r>
          </w:p>
        </w:tc>
        <w:tc>
          <w:tcPr>
            <w:tcW w:w="992" w:type="dxa"/>
          </w:tcPr>
          <w:p w:rsidR="00271006" w:rsidRDefault="006E7E55" w:rsidP="007C0038">
            <w:r>
              <w:t>4</w:t>
            </w:r>
          </w:p>
        </w:tc>
        <w:tc>
          <w:tcPr>
            <w:tcW w:w="1559" w:type="dxa"/>
          </w:tcPr>
          <w:p w:rsidR="00271006" w:rsidRDefault="00271006" w:rsidP="007C0038"/>
        </w:tc>
      </w:tr>
      <w:tr w:rsidR="00271006" w:rsidTr="00271006">
        <w:tc>
          <w:tcPr>
            <w:tcW w:w="1129" w:type="dxa"/>
          </w:tcPr>
          <w:p w:rsidR="00271006" w:rsidRDefault="00271006" w:rsidP="007C0038">
            <w:r>
              <w:t>B013</w:t>
            </w:r>
          </w:p>
        </w:tc>
        <w:tc>
          <w:tcPr>
            <w:tcW w:w="6527" w:type="dxa"/>
          </w:tcPr>
          <w:p w:rsidR="00271006" w:rsidRDefault="00271006" w:rsidP="0077612C">
            <w:r w:rsidRPr="000A3323">
              <w:t>The practice has ensured that over half of its "vulnerable to unplanned admission" patients have had a documented discussion on end of life care, including decisions of Do Not Attempt Resuscitation (DNAR)</w:t>
            </w:r>
            <w:proofErr w:type="gramStart"/>
            <w:r w:rsidRPr="000A3323">
              <w:t>,  Treatment</w:t>
            </w:r>
            <w:proofErr w:type="gramEnd"/>
            <w:r w:rsidRPr="000A3323">
              <w:t xml:space="preserve"> Escalation Plans (TEP) and ceiling of treatment.</w:t>
            </w:r>
            <w:r w:rsidRPr="000A3323">
              <w:br/>
            </w:r>
          </w:p>
        </w:tc>
        <w:tc>
          <w:tcPr>
            <w:tcW w:w="992" w:type="dxa"/>
          </w:tcPr>
          <w:p w:rsidR="00271006" w:rsidRDefault="006E7E55" w:rsidP="007C0038">
            <w:r>
              <w:t>7</w:t>
            </w:r>
          </w:p>
        </w:tc>
        <w:tc>
          <w:tcPr>
            <w:tcW w:w="1559" w:type="dxa"/>
          </w:tcPr>
          <w:p w:rsidR="00271006" w:rsidRDefault="00271006" w:rsidP="007C0038"/>
        </w:tc>
      </w:tr>
      <w:tr w:rsidR="00271006" w:rsidTr="00271006">
        <w:tc>
          <w:tcPr>
            <w:tcW w:w="1129" w:type="dxa"/>
          </w:tcPr>
          <w:p w:rsidR="00271006" w:rsidRDefault="00271006" w:rsidP="007C0038">
            <w:r>
              <w:t>B014</w:t>
            </w:r>
          </w:p>
        </w:tc>
        <w:tc>
          <w:tcPr>
            <w:tcW w:w="6527" w:type="dxa"/>
          </w:tcPr>
          <w:p w:rsidR="00271006" w:rsidRPr="000A3323" w:rsidRDefault="00271006" w:rsidP="000A3323">
            <w:r w:rsidRPr="000A3323">
              <w:t xml:space="preserve">The practice has an up-to-date written 'lighting and equipment responsibility plan' covering responsibility for all the main areas and key equipment within the practice and all relevant staff have been </w:t>
            </w:r>
            <w:r w:rsidRPr="000A3323">
              <w:lastRenderedPageBreak/>
              <w:t>made aware of the plan.</w:t>
            </w:r>
          </w:p>
          <w:p w:rsidR="00271006" w:rsidRDefault="00271006" w:rsidP="007C0038"/>
        </w:tc>
        <w:tc>
          <w:tcPr>
            <w:tcW w:w="992" w:type="dxa"/>
          </w:tcPr>
          <w:p w:rsidR="00271006" w:rsidRDefault="006E7E55" w:rsidP="007C0038">
            <w:r>
              <w:lastRenderedPageBreak/>
              <w:t>6</w:t>
            </w:r>
          </w:p>
        </w:tc>
        <w:tc>
          <w:tcPr>
            <w:tcW w:w="1559" w:type="dxa"/>
          </w:tcPr>
          <w:p w:rsidR="00271006" w:rsidRDefault="00271006" w:rsidP="007C0038"/>
        </w:tc>
      </w:tr>
      <w:tr w:rsidR="00271006" w:rsidTr="00271006">
        <w:tc>
          <w:tcPr>
            <w:tcW w:w="1129" w:type="dxa"/>
          </w:tcPr>
          <w:p w:rsidR="00271006" w:rsidRDefault="00271006" w:rsidP="007C0038">
            <w:r>
              <w:lastRenderedPageBreak/>
              <w:t>B015</w:t>
            </w:r>
          </w:p>
        </w:tc>
        <w:tc>
          <w:tcPr>
            <w:tcW w:w="6527" w:type="dxa"/>
          </w:tcPr>
          <w:p w:rsidR="00271006" w:rsidRPr="000A3323" w:rsidRDefault="00271006" w:rsidP="000A3323">
            <w:r w:rsidRPr="000A3323">
              <w:t xml:space="preserve">The practice has reviewed the proportion of dry powder inhalers (DPIs) used compared to metered dose inhalers (MDIs) AND the proportion of low volume Salbutamol MDIs used compared to high volume Salbutamol MDIs used AND the proportion of inhalers which use HFA227ea. </w:t>
            </w:r>
          </w:p>
          <w:p w:rsidR="00271006" w:rsidRDefault="00271006" w:rsidP="007C0038"/>
        </w:tc>
        <w:tc>
          <w:tcPr>
            <w:tcW w:w="992" w:type="dxa"/>
          </w:tcPr>
          <w:p w:rsidR="00271006" w:rsidRDefault="006E7E55" w:rsidP="007C0038">
            <w:r>
              <w:t>5</w:t>
            </w:r>
          </w:p>
        </w:tc>
        <w:tc>
          <w:tcPr>
            <w:tcW w:w="1559" w:type="dxa"/>
          </w:tcPr>
          <w:p w:rsidR="00271006" w:rsidRDefault="00271006" w:rsidP="007C0038"/>
        </w:tc>
      </w:tr>
      <w:tr w:rsidR="00271006" w:rsidTr="00271006">
        <w:tc>
          <w:tcPr>
            <w:tcW w:w="1129" w:type="dxa"/>
          </w:tcPr>
          <w:p w:rsidR="00271006" w:rsidRDefault="00271006" w:rsidP="007C0038">
            <w:r>
              <w:t>B016</w:t>
            </w:r>
          </w:p>
        </w:tc>
        <w:tc>
          <w:tcPr>
            <w:tcW w:w="6527" w:type="dxa"/>
          </w:tcPr>
          <w:p w:rsidR="00271006" w:rsidRDefault="00271006" w:rsidP="0077612C">
            <w:r w:rsidRPr="000A3323">
              <w:t xml:space="preserve">The practice has a system in place to review patients on 10 or more prescriptions in the first step to preventing unnecessary polypharmacy. </w:t>
            </w:r>
          </w:p>
          <w:p w:rsidR="00271006" w:rsidRDefault="00271006" w:rsidP="0077612C"/>
        </w:tc>
        <w:tc>
          <w:tcPr>
            <w:tcW w:w="992" w:type="dxa"/>
          </w:tcPr>
          <w:p w:rsidR="00271006" w:rsidRDefault="006E7E55" w:rsidP="007C0038">
            <w:r>
              <w:t>6</w:t>
            </w:r>
          </w:p>
        </w:tc>
        <w:tc>
          <w:tcPr>
            <w:tcW w:w="1559" w:type="dxa"/>
          </w:tcPr>
          <w:p w:rsidR="00271006" w:rsidRDefault="00271006" w:rsidP="007C0038"/>
        </w:tc>
      </w:tr>
      <w:tr w:rsidR="00271006" w:rsidTr="00271006">
        <w:tc>
          <w:tcPr>
            <w:tcW w:w="1129" w:type="dxa"/>
          </w:tcPr>
          <w:p w:rsidR="00271006" w:rsidRDefault="00271006" w:rsidP="007C0038">
            <w:r>
              <w:t>B017</w:t>
            </w:r>
          </w:p>
        </w:tc>
        <w:tc>
          <w:tcPr>
            <w:tcW w:w="6527" w:type="dxa"/>
          </w:tcPr>
          <w:p w:rsidR="00271006" w:rsidRDefault="00271006" w:rsidP="0077612C">
            <w:r w:rsidRPr="00FF2B89">
              <w:t xml:space="preserve">All GP trainees and/or Foundation doctors have received at least one tutorial on career resilience and have submitted feedback forms. </w:t>
            </w:r>
            <w:r w:rsidRPr="00FF2B89">
              <w:br/>
            </w:r>
          </w:p>
        </w:tc>
        <w:tc>
          <w:tcPr>
            <w:tcW w:w="992" w:type="dxa"/>
          </w:tcPr>
          <w:p w:rsidR="00271006" w:rsidRDefault="006E7E55" w:rsidP="007C0038">
            <w:r>
              <w:t>4</w:t>
            </w:r>
          </w:p>
        </w:tc>
        <w:tc>
          <w:tcPr>
            <w:tcW w:w="1559" w:type="dxa"/>
          </w:tcPr>
          <w:p w:rsidR="00271006" w:rsidRDefault="00271006" w:rsidP="007C0038"/>
        </w:tc>
      </w:tr>
      <w:tr w:rsidR="00271006" w:rsidTr="00271006">
        <w:tc>
          <w:tcPr>
            <w:tcW w:w="1129" w:type="dxa"/>
          </w:tcPr>
          <w:p w:rsidR="00271006" w:rsidRDefault="00271006" w:rsidP="007C0038">
            <w:r>
              <w:t>B018</w:t>
            </w:r>
          </w:p>
        </w:tc>
        <w:tc>
          <w:tcPr>
            <w:tcW w:w="6527" w:type="dxa"/>
          </w:tcPr>
          <w:p w:rsidR="00271006" w:rsidRPr="00FF2B89" w:rsidRDefault="00271006" w:rsidP="00FF2B89">
            <w:r w:rsidRPr="00FF2B89">
              <w:t xml:space="preserve">The practice encourages patient self-management with guidance for at least one named condition (as chosen by the practice). </w:t>
            </w:r>
          </w:p>
          <w:p w:rsidR="00271006" w:rsidRDefault="00271006" w:rsidP="007C0038"/>
        </w:tc>
        <w:tc>
          <w:tcPr>
            <w:tcW w:w="992" w:type="dxa"/>
          </w:tcPr>
          <w:p w:rsidR="00271006" w:rsidRDefault="006E7E55" w:rsidP="007C0038">
            <w:r>
              <w:t>4</w:t>
            </w:r>
          </w:p>
        </w:tc>
        <w:tc>
          <w:tcPr>
            <w:tcW w:w="1559" w:type="dxa"/>
          </w:tcPr>
          <w:p w:rsidR="00271006" w:rsidRDefault="00271006" w:rsidP="007C0038"/>
        </w:tc>
      </w:tr>
      <w:tr w:rsidR="00271006" w:rsidTr="00271006">
        <w:tc>
          <w:tcPr>
            <w:tcW w:w="1129" w:type="dxa"/>
          </w:tcPr>
          <w:p w:rsidR="00271006" w:rsidRDefault="00271006" w:rsidP="007C0038">
            <w:r>
              <w:t>B019</w:t>
            </w:r>
          </w:p>
        </w:tc>
        <w:tc>
          <w:tcPr>
            <w:tcW w:w="6527" w:type="dxa"/>
          </w:tcPr>
          <w:p w:rsidR="00271006" w:rsidRPr="00FF2B89" w:rsidRDefault="00271006" w:rsidP="00FF2B89">
            <w:r w:rsidRPr="00FF2B89">
              <w:t xml:space="preserve">The practice has planned at least one quality improvement project, which aims to improve the sustainability of the healthcare system in question. </w:t>
            </w:r>
          </w:p>
          <w:p w:rsidR="00271006" w:rsidRDefault="00271006" w:rsidP="007C0038"/>
        </w:tc>
        <w:tc>
          <w:tcPr>
            <w:tcW w:w="992" w:type="dxa"/>
          </w:tcPr>
          <w:p w:rsidR="00271006" w:rsidRDefault="006E7E55" w:rsidP="007C0038">
            <w:r>
              <w:t>6</w:t>
            </w:r>
          </w:p>
        </w:tc>
        <w:tc>
          <w:tcPr>
            <w:tcW w:w="1559" w:type="dxa"/>
          </w:tcPr>
          <w:p w:rsidR="00271006" w:rsidRDefault="00271006" w:rsidP="007C0038"/>
        </w:tc>
      </w:tr>
      <w:tr w:rsidR="00271006" w:rsidTr="00271006">
        <w:tc>
          <w:tcPr>
            <w:tcW w:w="1129" w:type="dxa"/>
          </w:tcPr>
          <w:p w:rsidR="00271006" w:rsidRDefault="00271006" w:rsidP="007C0038">
            <w:r>
              <w:t>B020</w:t>
            </w:r>
          </w:p>
        </w:tc>
        <w:tc>
          <w:tcPr>
            <w:tcW w:w="6527" w:type="dxa"/>
          </w:tcPr>
          <w:p w:rsidR="00271006" w:rsidRDefault="00271006" w:rsidP="0077612C">
            <w:r w:rsidRPr="00FF2B89">
              <w:t>The practice uses rechargeable batteries for medical equipment</w:t>
            </w:r>
            <w:r w:rsidRPr="00FF2B89">
              <w:br/>
            </w:r>
          </w:p>
        </w:tc>
        <w:tc>
          <w:tcPr>
            <w:tcW w:w="992" w:type="dxa"/>
          </w:tcPr>
          <w:p w:rsidR="00271006" w:rsidRDefault="006E7E55" w:rsidP="007C0038">
            <w:r>
              <w:t>2</w:t>
            </w:r>
          </w:p>
        </w:tc>
        <w:tc>
          <w:tcPr>
            <w:tcW w:w="1559" w:type="dxa"/>
          </w:tcPr>
          <w:p w:rsidR="00271006" w:rsidRDefault="00271006" w:rsidP="007C0038"/>
        </w:tc>
      </w:tr>
      <w:tr w:rsidR="00271006" w:rsidTr="00271006">
        <w:tc>
          <w:tcPr>
            <w:tcW w:w="1129" w:type="dxa"/>
          </w:tcPr>
          <w:p w:rsidR="00271006" w:rsidRDefault="00271006" w:rsidP="007C0038">
            <w:r>
              <w:t>B021</w:t>
            </w:r>
          </w:p>
        </w:tc>
        <w:tc>
          <w:tcPr>
            <w:tcW w:w="6527" w:type="dxa"/>
          </w:tcPr>
          <w:p w:rsidR="00271006" w:rsidRDefault="00271006" w:rsidP="0077612C">
            <w:r w:rsidRPr="00FF2B89">
              <w:t xml:space="preserve">The practice has engaged in at least one activity to enhance the sustainability of local training resources, for example sharing across practices. </w:t>
            </w:r>
            <w:r w:rsidRPr="00FF2B89">
              <w:br/>
            </w:r>
          </w:p>
        </w:tc>
        <w:tc>
          <w:tcPr>
            <w:tcW w:w="992" w:type="dxa"/>
          </w:tcPr>
          <w:p w:rsidR="00271006" w:rsidRDefault="006E7E55" w:rsidP="007C0038">
            <w:r>
              <w:t>4</w:t>
            </w:r>
          </w:p>
        </w:tc>
        <w:tc>
          <w:tcPr>
            <w:tcW w:w="1559" w:type="dxa"/>
          </w:tcPr>
          <w:p w:rsidR="00271006" w:rsidRDefault="00271006" w:rsidP="007C0038"/>
        </w:tc>
      </w:tr>
      <w:tr w:rsidR="00271006" w:rsidTr="00271006">
        <w:tc>
          <w:tcPr>
            <w:tcW w:w="1129" w:type="dxa"/>
          </w:tcPr>
          <w:p w:rsidR="00271006" w:rsidRDefault="00271006" w:rsidP="007C0038">
            <w:r>
              <w:t>B022</w:t>
            </w:r>
          </w:p>
        </w:tc>
        <w:tc>
          <w:tcPr>
            <w:tcW w:w="6527" w:type="dxa"/>
          </w:tcPr>
          <w:p w:rsidR="00271006" w:rsidRDefault="00271006" w:rsidP="0077612C">
            <w:r w:rsidRPr="00FF2B89">
              <w:t xml:space="preserve">The practice promotes physical exercise to patients and staff and promotes a culture of physical activity and role modelling. All practice staff are aware of benefits of physical </w:t>
            </w:r>
            <w:proofErr w:type="spellStart"/>
            <w:r w:rsidRPr="00FF2B89">
              <w:t>actvity</w:t>
            </w:r>
            <w:proofErr w:type="spellEnd"/>
            <w:r w:rsidRPr="00FF2B89">
              <w:t xml:space="preserve"> and physical activity prescriptions.</w:t>
            </w:r>
            <w:r w:rsidRPr="00FF2B89">
              <w:br/>
            </w:r>
          </w:p>
        </w:tc>
        <w:tc>
          <w:tcPr>
            <w:tcW w:w="992" w:type="dxa"/>
          </w:tcPr>
          <w:p w:rsidR="00271006" w:rsidRDefault="006E7E55" w:rsidP="007C0038">
            <w:r>
              <w:t>7</w:t>
            </w:r>
          </w:p>
        </w:tc>
        <w:tc>
          <w:tcPr>
            <w:tcW w:w="1559" w:type="dxa"/>
          </w:tcPr>
          <w:p w:rsidR="00271006" w:rsidRDefault="00271006" w:rsidP="007C0038"/>
        </w:tc>
      </w:tr>
      <w:tr w:rsidR="00271006" w:rsidTr="00271006">
        <w:tc>
          <w:tcPr>
            <w:tcW w:w="1129" w:type="dxa"/>
          </w:tcPr>
          <w:p w:rsidR="00271006" w:rsidRDefault="00271006" w:rsidP="007C0038">
            <w:r>
              <w:t>B023</w:t>
            </w:r>
          </w:p>
        </w:tc>
        <w:tc>
          <w:tcPr>
            <w:tcW w:w="6527" w:type="dxa"/>
          </w:tcPr>
          <w:p w:rsidR="00271006" w:rsidRDefault="00271006" w:rsidP="0077612C">
            <w:r w:rsidRPr="00FF2B89">
              <w:t xml:space="preserve">The practice changes its default internet search engine to </w:t>
            </w:r>
            <w:proofErr w:type="spellStart"/>
            <w:r w:rsidRPr="00FF2B89">
              <w:t>Ecosia</w:t>
            </w:r>
            <w:proofErr w:type="spellEnd"/>
            <w:r w:rsidRPr="00FF2B89">
              <w:t xml:space="preserve"> which plants trees when people use the site. </w:t>
            </w:r>
            <w:r w:rsidRPr="00FF2B89">
              <w:br/>
            </w:r>
          </w:p>
        </w:tc>
        <w:tc>
          <w:tcPr>
            <w:tcW w:w="992" w:type="dxa"/>
          </w:tcPr>
          <w:p w:rsidR="00271006" w:rsidRDefault="006E7E55" w:rsidP="007C0038">
            <w:r>
              <w:t>2</w:t>
            </w:r>
          </w:p>
        </w:tc>
        <w:tc>
          <w:tcPr>
            <w:tcW w:w="1559" w:type="dxa"/>
          </w:tcPr>
          <w:p w:rsidR="00271006" w:rsidRDefault="00271006" w:rsidP="007C0038"/>
        </w:tc>
      </w:tr>
      <w:tr w:rsidR="00271006" w:rsidTr="00271006">
        <w:tc>
          <w:tcPr>
            <w:tcW w:w="1129" w:type="dxa"/>
          </w:tcPr>
          <w:p w:rsidR="00271006" w:rsidRDefault="00271006" w:rsidP="007C0038">
            <w:r>
              <w:t>B024</w:t>
            </w:r>
          </w:p>
        </w:tc>
        <w:tc>
          <w:tcPr>
            <w:tcW w:w="6527" w:type="dxa"/>
          </w:tcPr>
          <w:p w:rsidR="00271006" w:rsidRPr="00FF2B89" w:rsidRDefault="00271006" w:rsidP="00FF2B89">
            <w:r w:rsidRPr="00FF2B89">
              <w:t xml:space="preserve">The practice adheres to the basic principles of welcoming breastfeeding on site and has accessed online resources for up-to-date information and training for staff to support women to breastfeed. </w:t>
            </w:r>
            <w:r w:rsidRPr="00FF2B89">
              <w:br/>
            </w:r>
          </w:p>
          <w:p w:rsidR="00271006" w:rsidRDefault="00271006" w:rsidP="007C0038"/>
        </w:tc>
        <w:tc>
          <w:tcPr>
            <w:tcW w:w="992" w:type="dxa"/>
          </w:tcPr>
          <w:p w:rsidR="00271006" w:rsidRDefault="006E7E55" w:rsidP="007C0038">
            <w:r>
              <w:t>2</w:t>
            </w:r>
          </w:p>
        </w:tc>
        <w:tc>
          <w:tcPr>
            <w:tcW w:w="1559" w:type="dxa"/>
          </w:tcPr>
          <w:p w:rsidR="00271006" w:rsidRDefault="00271006" w:rsidP="007C0038"/>
        </w:tc>
      </w:tr>
      <w:tr w:rsidR="00271006" w:rsidTr="00271006">
        <w:tc>
          <w:tcPr>
            <w:tcW w:w="1129" w:type="dxa"/>
          </w:tcPr>
          <w:p w:rsidR="00271006" w:rsidRDefault="006E7E55" w:rsidP="007C0038">
            <w:r>
              <w:t>Total</w:t>
            </w:r>
          </w:p>
        </w:tc>
        <w:tc>
          <w:tcPr>
            <w:tcW w:w="6527" w:type="dxa"/>
          </w:tcPr>
          <w:p w:rsidR="00271006" w:rsidRDefault="00271006" w:rsidP="007C0038"/>
        </w:tc>
        <w:tc>
          <w:tcPr>
            <w:tcW w:w="992" w:type="dxa"/>
          </w:tcPr>
          <w:p w:rsidR="00271006" w:rsidRDefault="006E7E55" w:rsidP="007C0038">
            <w:r>
              <w:t>100</w:t>
            </w:r>
          </w:p>
        </w:tc>
        <w:tc>
          <w:tcPr>
            <w:tcW w:w="1559" w:type="dxa"/>
          </w:tcPr>
          <w:p w:rsidR="00271006" w:rsidRDefault="00271006" w:rsidP="007C0038"/>
        </w:tc>
      </w:tr>
    </w:tbl>
    <w:p w:rsidR="00226EE2" w:rsidRDefault="00226EE2" w:rsidP="00FF2B89">
      <w:pPr>
        <w:pStyle w:val="ListParagraph"/>
      </w:pPr>
    </w:p>
    <w:p w:rsidR="00FF2B89" w:rsidRDefault="00FF2B89" w:rsidP="00FF2B89">
      <w:pPr>
        <w:pStyle w:val="ListParagraph"/>
      </w:pPr>
    </w:p>
    <w:p w:rsidR="00FF2B89" w:rsidRDefault="00FF2B89" w:rsidP="00FF2B89">
      <w:pPr>
        <w:pStyle w:val="ListParagraph"/>
      </w:pPr>
    </w:p>
    <w:p w:rsidR="00FF2B89" w:rsidRDefault="00FF2B89" w:rsidP="00FF2B89">
      <w:pPr>
        <w:pStyle w:val="ListParagraph"/>
      </w:pPr>
    </w:p>
    <w:p w:rsidR="0077612C" w:rsidRDefault="0077612C" w:rsidP="00FF2B89">
      <w:pPr>
        <w:pStyle w:val="ListParagraph"/>
      </w:pPr>
    </w:p>
    <w:p w:rsidR="00FF2B89" w:rsidRDefault="00FF2B89" w:rsidP="00FF2B89">
      <w:pPr>
        <w:pStyle w:val="ListParagraph"/>
      </w:pPr>
    </w:p>
    <w:p w:rsidR="00FF2B89" w:rsidRPr="00226EE2" w:rsidRDefault="00FF2B89" w:rsidP="00FF2B89">
      <w:pPr>
        <w:pStyle w:val="ListParagraph"/>
      </w:pPr>
    </w:p>
    <w:p w:rsidR="00226EE2" w:rsidRDefault="00226EE2" w:rsidP="00226EE2"/>
    <w:p w:rsidR="00226EE2" w:rsidRPr="00226EE2" w:rsidRDefault="00226EE2" w:rsidP="00226EE2">
      <w:r w:rsidRPr="00226EE2">
        <w:br/>
      </w:r>
      <w:r w:rsidRPr="00226EE2">
        <w:br/>
      </w:r>
      <w:r w:rsidRPr="00226EE2">
        <w:br/>
      </w:r>
    </w:p>
    <w:p w:rsidR="00B71FBC" w:rsidRDefault="00367F32"/>
    <w:sectPr w:rsidR="00B71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11D9"/>
    <w:multiLevelType w:val="hybridMultilevel"/>
    <w:tmpl w:val="AF6E8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177F4E"/>
    <w:multiLevelType w:val="hybridMultilevel"/>
    <w:tmpl w:val="2CFC4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C4C28"/>
    <w:multiLevelType w:val="hybridMultilevel"/>
    <w:tmpl w:val="D4AA0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1A5293"/>
    <w:multiLevelType w:val="hybridMultilevel"/>
    <w:tmpl w:val="2CFC4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AC6DF6"/>
    <w:multiLevelType w:val="hybridMultilevel"/>
    <w:tmpl w:val="2CFC4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70"/>
    <w:rsid w:val="00076C1F"/>
    <w:rsid w:val="000943F7"/>
    <w:rsid w:val="000A3323"/>
    <w:rsid w:val="00226EE2"/>
    <w:rsid w:val="00271006"/>
    <w:rsid w:val="002C2393"/>
    <w:rsid w:val="00306F03"/>
    <w:rsid w:val="00317C22"/>
    <w:rsid w:val="00367F32"/>
    <w:rsid w:val="003C4765"/>
    <w:rsid w:val="00504D4C"/>
    <w:rsid w:val="00511643"/>
    <w:rsid w:val="00556F9C"/>
    <w:rsid w:val="005C2A46"/>
    <w:rsid w:val="006D26F5"/>
    <w:rsid w:val="006E7E55"/>
    <w:rsid w:val="00723670"/>
    <w:rsid w:val="00750A17"/>
    <w:rsid w:val="00771186"/>
    <w:rsid w:val="0077612C"/>
    <w:rsid w:val="007C0038"/>
    <w:rsid w:val="007D2C80"/>
    <w:rsid w:val="00813FE4"/>
    <w:rsid w:val="00996806"/>
    <w:rsid w:val="00A62838"/>
    <w:rsid w:val="00B92371"/>
    <w:rsid w:val="00BD4502"/>
    <w:rsid w:val="00E05938"/>
    <w:rsid w:val="00F20649"/>
    <w:rsid w:val="00F42ED2"/>
    <w:rsid w:val="00F92F3A"/>
    <w:rsid w:val="00FF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EE2"/>
    <w:pPr>
      <w:ind w:left="720"/>
      <w:contextualSpacing/>
    </w:pPr>
  </w:style>
  <w:style w:type="table" w:styleId="TableGrid">
    <w:name w:val="Table Grid"/>
    <w:basedOn w:val="TableNormal"/>
    <w:uiPriority w:val="59"/>
    <w:rsid w:val="007C0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3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EE2"/>
    <w:pPr>
      <w:ind w:left="720"/>
      <w:contextualSpacing/>
    </w:pPr>
  </w:style>
  <w:style w:type="table" w:styleId="TableGrid">
    <w:name w:val="Table Grid"/>
    <w:basedOn w:val="TableNormal"/>
    <w:uiPriority w:val="59"/>
    <w:rsid w:val="007C0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3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4328">
      <w:bodyDiv w:val="1"/>
      <w:marLeft w:val="0"/>
      <w:marRight w:val="0"/>
      <w:marTop w:val="0"/>
      <w:marBottom w:val="0"/>
      <w:divBdr>
        <w:top w:val="none" w:sz="0" w:space="0" w:color="auto"/>
        <w:left w:val="none" w:sz="0" w:space="0" w:color="auto"/>
        <w:bottom w:val="none" w:sz="0" w:space="0" w:color="auto"/>
        <w:right w:val="none" w:sz="0" w:space="0" w:color="auto"/>
      </w:divBdr>
    </w:div>
    <w:div w:id="52777733">
      <w:bodyDiv w:val="1"/>
      <w:marLeft w:val="0"/>
      <w:marRight w:val="0"/>
      <w:marTop w:val="0"/>
      <w:marBottom w:val="0"/>
      <w:divBdr>
        <w:top w:val="none" w:sz="0" w:space="0" w:color="auto"/>
        <w:left w:val="none" w:sz="0" w:space="0" w:color="auto"/>
        <w:bottom w:val="none" w:sz="0" w:space="0" w:color="auto"/>
        <w:right w:val="none" w:sz="0" w:space="0" w:color="auto"/>
      </w:divBdr>
    </w:div>
    <w:div w:id="65148752">
      <w:bodyDiv w:val="1"/>
      <w:marLeft w:val="0"/>
      <w:marRight w:val="0"/>
      <w:marTop w:val="0"/>
      <w:marBottom w:val="0"/>
      <w:divBdr>
        <w:top w:val="none" w:sz="0" w:space="0" w:color="auto"/>
        <w:left w:val="none" w:sz="0" w:space="0" w:color="auto"/>
        <w:bottom w:val="none" w:sz="0" w:space="0" w:color="auto"/>
        <w:right w:val="none" w:sz="0" w:space="0" w:color="auto"/>
      </w:divBdr>
    </w:div>
    <w:div w:id="116216519">
      <w:bodyDiv w:val="1"/>
      <w:marLeft w:val="0"/>
      <w:marRight w:val="0"/>
      <w:marTop w:val="0"/>
      <w:marBottom w:val="0"/>
      <w:divBdr>
        <w:top w:val="none" w:sz="0" w:space="0" w:color="auto"/>
        <w:left w:val="none" w:sz="0" w:space="0" w:color="auto"/>
        <w:bottom w:val="none" w:sz="0" w:space="0" w:color="auto"/>
        <w:right w:val="none" w:sz="0" w:space="0" w:color="auto"/>
      </w:divBdr>
    </w:div>
    <w:div w:id="120853291">
      <w:bodyDiv w:val="1"/>
      <w:marLeft w:val="0"/>
      <w:marRight w:val="0"/>
      <w:marTop w:val="0"/>
      <w:marBottom w:val="0"/>
      <w:divBdr>
        <w:top w:val="none" w:sz="0" w:space="0" w:color="auto"/>
        <w:left w:val="none" w:sz="0" w:space="0" w:color="auto"/>
        <w:bottom w:val="none" w:sz="0" w:space="0" w:color="auto"/>
        <w:right w:val="none" w:sz="0" w:space="0" w:color="auto"/>
      </w:divBdr>
    </w:div>
    <w:div w:id="136996731">
      <w:bodyDiv w:val="1"/>
      <w:marLeft w:val="0"/>
      <w:marRight w:val="0"/>
      <w:marTop w:val="0"/>
      <w:marBottom w:val="0"/>
      <w:divBdr>
        <w:top w:val="none" w:sz="0" w:space="0" w:color="auto"/>
        <w:left w:val="none" w:sz="0" w:space="0" w:color="auto"/>
        <w:bottom w:val="none" w:sz="0" w:space="0" w:color="auto"/>
        <w:right w:val="none" w:sz="0" w:space="0" w:color="auto"/>
      </w:divBdr>
    </w:div>
    <w:div w:id="188103146">
      <w:bodyDiv w:val="1"/>
      <w:marLeft w:val="0"/>
      <w:marRight w:val="0"/>
      <w:marTop w:val="0"/>
      <w:marBottom w:val="0"/>
      <w:divBdr>
        <w:top w:val="none" w:sz="0" w:space="0" w:color="auto"/>
        <w:left w:val="none" w:sz="0" w:space="0" w:color="auto"/>
        <w:bottom w:val="none" w:sz="0" w:space="0" w:color="auto"/>
        <w:right w:val="none" w:sz="0" w:space="0" w:color="auto"/>
      </w:divBdr>
    </w:div>
    <w:div w:id="204753855">
      <w:bodyDiv w:val="1"/>
      <w:marLeft w:val="0"/>
      <w:marRight w:val="0"/>
      <w:marTop w:val="0"/>
      <w:marBottom w:val="0"/>
      <w:divBdr>
        <w:top w:val="none" w:sz="0" w:space="0" w:color="auto"/>
        <w:left w:val="none" w:sz="0" w:space="0" w:color="auto"/>
        <w:bottom w:val="none" w:sz="0" w:space="0" w:color="auto"/>
        <w:right w:val="none" w:sz="0" w:space="0" w:color="auto"/>
      </w:divBdr>
    </w:div>
    <w:div w:id="297228927">
      <w:bodyDiv w:val="1"/>
      <w:marLeft w:val="0"/>
      <w:marRight w:val="0"/>
      <w:marTop w:val="0"/>
      <w:marBottom w:val="0"/>
      <w:divBdr>
        <w:top w:val="none" w:sz="0" w:space="0" w:color="auto"/>
        <w:left w:val="none" w:sz="0" w:space="0" w:color="auto"/>
        <w:bottom w:val="none" w:sz="0" w:space="0" w:color="auto"/>
        <w:right w:val="none" w:sz="0" w:space="0" w:color="auto"/>
      </w:divBdr>
    </w:div>
    <w:div w:id="327292657">
      <w:bodyDiv w:val="1"/>
      <w:marLeft w:val="0"/>
      <w:marRight w:val="0"/>
      <w:marTop w:val="0"/>
      <w:marBottom w:val="0"/>
      <w:divBdr>
        <w:top w:val="none" w:sz="0" w:space="0" w:color="auto"/>
        <w:left w:val="none" w:sz="0" w:space="0" w:color="auto"/>
        <w:bottom w:val="none" w:sz="0" w:space="0" w:color="auto"/>
        <w:right w:val="none" w:sz="0" w:space="0" w:color="auto"/>
      </w:divBdr>
    </w:div>
    <w:div w:id="369186245">
      <w:bodyDiv w:val="1"/>
      <w:marLeft w:val="0"/>
      <w:marRight w:val="0"/>
      <w:marTop w:val="0"/>
      <w:marBottom w:val="0"/>
      <w:divBdr>
        <w:top w:val="none" w:sz="0" w:space="0" w:color="auto"/>
        <w:left w:val="none" w:sz="0" w:space="0" w:color="auto"/>
        <w:bottom w:val="none" w:sz="0" w:space="0" w:color="auto"/>
        <w:right w:val="none" w:sz="0" w:space="0" w:color="auto"/>
      </w:divBdr>
    </w:div>
    <w:div w:id="372313544">
      <w:bodyDiv w:val="1"/>
      <w:marLeft w:val="0"/>
      <w:marRight w:val="0"/>
      <w:marTop w:val="0"/>
      <w:marBottom w:val="0"/>
      <w:divBdr>
        <w:top w:val="none" w:sz="0" w:space="0" w:color="auto"/>
        <w:left w:val="none" w:sz="0" w:space="0" w:color="auto"/>
        <w:bottom w:val="none" w:sz="0" w:space="0" w:color="auto"/>
        <w:right w:val="none" w:sz="0" w:space="0" w:color="auto"/>
      </w:divBdr>
    </w:div>
    <w:div w:id="394668714">
      <w:bodyDiv w:val="1"/>
      <w:marLeft w:val="0"/>
      <w:marRight w:val="0"/>
      <w:marTop w:val="0"/>
      <w:marBottom w:val="0"/>
      <w:divBdr>
        <w:top w:val="none" w:sz="0" w:space="0" w:color="auto"/>
        <w:left w:val="none" w:sz="0" w:space="0" w:color="auto"/>
        <w:bottom w:val="none" w:sz="0" w:space="0" w:color="auto"/>
        <w:right w:val="none" w:sz="0" w:space="0" w:color="auto"/>
      </w:divBdr>
    </w:div>
    <w:div w:id="446700762">
      <w:bodyDiv w:val="1"/>
      <w:marLeft w:val="0"/>
      <w:marRight w:val="0"/>
      <w:marTop w:val="0"/>
      <w:marBottom w:val="0"/>
      <w:divBdr>
        <w:top w:val="none" w:sz="0" w:space="0" w:color="auto"/>
        <w:left w:val="none" w:sz="0" w:space="0" w:color="auto"/>
        <w:bottom w:val="none" w:sz="0" w:space="0" w:color="auto"/>
        <w:right w:val="none" w:sz="0" w:space="0" w:color="auto"/>
      </w:divBdr>
    </w:div>
    <w:div w:id="472217136">
      <w:bodyDiv w:val="1"/>
      <w:marLeft w:val="0"/>
      <w:marRight w:val="0"/>
      <w:marTop w:val="0"/>
      <w:marBottom w:val="0"/>
      <w:divBdr>
        <w:top w:val="none" w:sz="0" w:space="0" w:color="auto"/>
        <w:left w:val="none" w:sz="0" w:space="0" w:color="auto"/>
        <w:bottom w:val="none" w:sz="0" w:space="0" w:color="auto"/>
        <w:right w:val="none" w:sz="0" w:space="0" w:color="auto"/>
      </w:divBdr>
    </w:div>
    <w:div w:id="544147793">
      <w:bodyDiv w:val="1"/>
      <w:marLeft w:val="0"/>
      <w:marRight w:val="0"/>
      <w:marTop w:val="0"/>
      <w:marBottom w:val="0"/>
      <w:divBdr>
        <w:top w:val="none" w:sz="0" w:space="0" w:color="auto"/>
        <w:left w:val="none" w:sz="0" w:space="0" w:color="auto"/>
        <w:bottom w:val="none" w:sz="0" w:space="0" w:color="auto"/>
        <w:right w:val="none" w:sz="0" w:space="0" w:color="auto"/>
      </w:divBdr>
    </w:div>
    <w:div w:id="601379501">
      <w:bodyDiv w:val="1"/>
      <w:marLeft w:val="0"/>
      <w:marRight w:val="0"/>
      <w:marTop w:val="0"/>
      <w:marBottom w:val="0"/>
      <w:divBdr>
        <w:top w:val="none" w:sz="0" w:space="0" w:color="auto"/>
        <w:left w:val="none" w:sz="0" w:space="0" w:color="auto"/>
        <w:bottom w:val="none" w:sz="0" w:space="0" w:color="auto"/>
        <w:right w:val="none" w:sz="0" w:space="0" w:color="auto"/>
      </w:divBdr>
    </w:div>
    <w:div w:id="752510173">
      <w:bodyDiv w:val="1"/>
      <w:marLeft w:val="0"/>
      <w:marRight w:val="0"/>
      <w:marTop w:val="0"/>
      <w:marBottom w:val="0"/>
      <w:divBdr>
        <w:top w:val="none" w:sz="0" w:space="0" w:color="auto"/>
        <w:left w:val="none" w:sz="0" w:space="0" w:color="auto"/>
        <w:bottom w:val="none" w:sz="0" w:space="0" w:color="auto"/>
        <w:right w:val="none" w:sz="0" w:space="0" w:color="auto"/>
      </w:divBdr>
    </w:div>
    <w:div w:id="782840604">
      <w:bodyDiv w:val="1"/>
      <w:marLeft w:val="0"/>
      <w:marRight w:val="0"/>
      <w:marTop w:val="0"/>
      <w:marBottom w:val="0"/>
      <w:divBdr>
        <w:top w:val="none" w:sz="0" w:space="0" w:color="auto"/>
        <w:left w:val="none" w:sz="0" w:space="0" w:color="auto"/>
        <w:bottom w:val="none" w:sz="0" w:space="0" w:color="auto"/>
        <w:right w:val="none" w:sz="0" w:space="0" w:color="auto"/>
      </w:divBdr>
    </w:div>
    <w:div w:id="819227635">
      <w:bodyDiv w:val="1"/>
      <w:marLeft w:val="0"/>
      <w:marRight w:val="0"/>
      <w:marTop w:val="0"/>
      <w:marBottom w:val="0"/>
      <w:divBdr>
        <w:top w:val="none" w:sz="0" w:space="0" w:color="auto"/>
        <w:left w:val="none" w:sz="0" w:space="0" w:color="auto"/>
        <w:bottom w:val="none" w:sz="0" w:space="0" w:color="auto"/>
        <w:right w:val="none" w:sz="0" w:space="0" w:color="auto"/>
      </w:divBdr>
    </w:div>
    <w:div w:id="853037713">
      <w:bodyDiv w:val="1"/>
      <w:marLeft w:val="0"/>
      <w:marRight w:val="0"/>
      <w:marTop w:val="0"/>
      <w:marBottom w:val="0"/>
      <w:divBdr>
        <w:top w:val="none" w:sz="0" w:space="0" w:color="auto"/>
        <w:left w:val="none" w:sz="0" w:space="0" w:color="auto"/>
        <w:bottom w:val="none" w:sz="0" w:space="0" w:color="auto"/>
        <w:right w:val="none" w:sz="0" w:space="0" w:color="auto"/>
      </w:divBdr>
    </w:div>
    <w:div w:id="869880561">
      <w:bodyDiv w:val="1"/>
      <w:marLeft w:val="0"/>
      <w:marRight w:val="0"/>
      <w:marTop w:val="0"/>
      <w:marBottom w:val="0"/>
      <w:divBdr>
        <w:top w:val="none" w:sz="0" w:space="0" w:color="auto"/>
        <w:left w:val="none" w:sz="0" w:space="0" w:color="auto"/>
        <w:bottom w:val="none" w:sz="0" w:space="0" w:color="auto"/>
        <w:right w:val="none" w:sz="0" w:space="0" w:color="auto"/>
      </w:divBdr>
    </w:div>
    <w:div w:id="941038446">
      <w:bodyDiv w:val="1"/>
      <w:marLeft w:val="0"/>
      <w:marRight w:val="0"/>
      <w:marTop w:val="0"/>
      <w:marBottom w:val="0"/>
      <w:divBdr>
        <w:top w:val="none" w:sz="0" w:space="0" w:color="auto"/>
        <w:left w:val="none" w:sz="0" w:space="0" w:color="auto"/>
        <w:bottom w:val="none" w:sz="0" w:space="0" w:color="auto"/>
        <w:right w:val="none" w:sz="0" w:space="0" w:color="auto"/>
      </w:divBdr>
    </w:div>
    <w:div w:id="974915237">
      <w:bodyDiv w:val="1"/>
      <w:marLeft w:val="0"/>
      <w:marRight w:val="0"/>
      <w:marTop w:val="0"/>
      <w:marBottom w:val="0"/>
      <w:divBdr>
        <w:top w:val="none" w:sz="0" w:space="0" w:color="auto"/>
        <w:left w:val="none" w:sz="0" w:space="0" w:color="auto"/>
        <w:bottom w:val="none" w:sz="0" w:space="0" w:color="auto"/>
        <w:right w:val="none" w:sz="0" w:space="0" w:color="auto"/>
      </w:divBdr>
    </w:div>
    <w:div w:id="989480606">
      <w:bodyDiv w:val="1"/>
      <w:marLeft w:val="0"/>
      <w:marRight w:val="0"/>
      <w:marTop w:val="0"/>
      <w:marBottom w:val="0"/>
      <w:divBdr>
        <w:top w:val="none" w:sz="0" w:space="0" w:color="auto"/>
        <w:left w:val="none" w:sz="0" w:space="0" w:color="auto"/>
        <w:bottom w:val="none" w:sz="0" w:space="0" w:color="auto"/>
        <w:right w:val="none" w:sz="0" w:space="0" w:color="auto"/>
      </w:divBdr>
    </w:div>
    <w:div w:id="1008561046">
      <w:bodyDiv w:val="1"/>
      <w:marLeft w:val="0"/>
      <w:marRight w:val="0"/>
      <w:marTop w:val="0"/>
      <w:marBottom w:val="0"/>
      <w:divBdr>
        <w:top w:val="none" w:sz="0" w:space="0" w:color="auto"/>
        <w:left w:val="none" w:sz="0" w:space="0" w:color="auto"/>
        <w:bottom w:val="none" w:sz="0" w:space="0" w:color="auto"/>
        <w:right w:val="none" w:sz="0" w:space="0" w:color="auto"/>
      </w:divBdr>
    </w:div>
    <w:div w:id="1114906970">
      <w:bodyDiv w:val="1"/>
      <w:marLeft w:val="0"/>
      <w:marRight w:val="0"/>
      <w:marTop w:val="0"/>
      <w:marBottom w:val="0"/>
      <w:divBdr>
        <w:top w:val="none" w:sz="0" w:space="0" w:color="auto"/>
        <w:left w:val="none" w:sz="0" w:space="0" w:color="auto"/>
        <w:bottom w:val="none" w:sz="0" w:space="0" w:color="auto"/>
        <w:right w:val="none" w:sz="0" w:space="0" w:color="auto"/>
      </w:divBdr>
    </w:div>
    <w:div w:id="1133257092">
      <w:bodyDiv w:val="1"/>
      <w:marLeft w:val="0"/>
      <w:marRight w:val="0"/>
      <w:marTop w:val="0"/>
      <w:marBottom w:val="0"/>
      <w:divBdr>
        <w:top w:val="none" w:sz="0" w:space="0" w:color="auto"/>
        <w:left w:val="none" w:sz="0" w:space="0" w:color="auto"/>
        <w:bottom w:val="none" w:sz="0" w:space="0" w:color="auto"/>
        <w:right w:val="none" w:sz="0" w:space="0" w:color="auto"/>
      </w:divBdr>
    </w:div>
    <w:div w:id="1142040682">
      <w:bodyDiv w:val="1"/>
      <w:marLeft w:val="0"/>
      <w:marRight w:val="0"/>
      <w:marTop w:val="0"/>
      <w:marBottom w:val="0"/>
      <w:divBdr>
        <w:top w:val="none" w:sz="0" w:space="0" w:color="auto"/>
        <w:left w:val="none" w:sz="0" w:space="0" w:color="auto"/>
        <w:bottom w:val="none" w:sz="0" w:space="0" w:color="auto"/>
        <w:right w:val="none" w:sz="0" w:space="0" w:color="auto"/>
      </w:divBdr>
    </w:div>
    <w:div w:id="1152334948">
      <w:bodyDiv w:val="1"/>
      <w:marLeft w:val="0"/>
      <w:marRight w:val="0"/>
      <w:marTop w:val="0"/>
      <w:marBottom w:val="0"/>
      <w:divBdr>
        <w:top w:val="none" w:sz="0" w:space="0" w:color="auto"/>
        <w:left w:val="none" w:sz="0" w:space="0" w:color="auto"/>
        <w:bottom w:val="none" w:sz="0" w:space="0" w:color="auto"/>
        <w:right w:val="none" w:sz="0" w:space="0" w:color="auto"/>
      </w:divBdr>
    </w:div>
    <w:div w:id="1246576217">
      <w:bodyDiv w:val="1"/>
      <w:marLeft w:val="0"/>
      <w:marRight w:val="0"/>
      <w:marTop w:val="0"/>
      <w:marBottom w:val="0"/>
      <w:divBdr>
        <w:top w:val="none" w:sz="0" w:space="0" w:color="auto"/>
        <w:left w:val="none" w:sz="0" w:space="0" w:color="auto"/>
        <w:bottom w:val="none" w:sz="0" w:space="0" w:color="auto"/>
        <w:right w:val="none" w:sz="0" w:space="0" w:color="auto"/>
      </w:divBdr>
    </w:div>
    <w:div w:id="1247417243">
      <w:bodyDiv w:val="1"/>
      <w:marLeft w:val="0"/>
      <w:marRight w:val="0"/>
      <w:marTop w:val="0"/>
      <w:marBottom w:val="0"/>
      <w:divBdr>
        <w:top w:val="none" w:sz="0" w:space="0" w:color="auto"/>
        <w:left w:val="none" w:sz="0" w:space="0" w:color="auto"/>
        <w:bottom w:val="none" w:sz="0" w:space="0" w:color="auto"/>
        <w:right w:val="none" w:sz="0" w:space="0" w:color="auto"/>
      </w:divBdr>
    </w:div>
    <w:div w:id="1255674120">
      <w:bodyDiv w:val="1"/>
      <w:marLeft w:val="0"/>
      <w:marRight w:val="0"/>
      <w:marTop w:val="0"/>
      <w:marBottom w:val="0"/>
      <w:divBdr>
        <w:top w:val="none" w:sz="0" w:space="0" w:color="auto"/>
        <w:left w:val="none" w:sz="0" w:space="0" w:color="auto"/>
        <w:bottom w:val="none" w:sz="0" w:space="0" w:color="auto"/>
        <w:right w:val="none" w:sz="0" w:space="0" w:color="auto"/>
      </w:divBdr>
    </w:div>
    <w:div w:id="1278411121">
      <w:bodyDiv w:val="1"/>
      <w:marLeft w:val="0"/>
      <w:marRight w:val="0"/>
      <w:marTop w:val="0"/>
      <w:marBottom w:val="0"/>
      <w:divBdr>
        <w:top w:val="none" w:sz="0" w:space="0" w:color="auto"/>
        <w:left w:val="none" w:sz="0" w:space="0" w:color="auto"/>
        <w:bottom w:val="none" w:sz="0" w:space="0" w:color="auto"/>
        <w:right w:val="none" w:sz="0" w:space="0" w:color="auto"/>
      </w:divBdr>
    </w:div>
    <w:div w:id="1352608637">
      <w:bodyDiv w:val="1"/>
      <w:marLeft w:val="0"/>
      <w:marRight w:val="0"/>
      <w:marTop w:val="0"/>
      <w:marBottom w:val="0"/>
      <w:divBdr>
        <w:top w:val="none" w:sz="0" w:space="0" w:color="auto"/>
        <w:left w:val="none" w:sz="0" w:space="0" w:color="auto"/>
        <w:bottom w:val="none" w:sz="0" w:space="0" w:color="auto"/>
        <w:right w:val="none" w:sz="0" w:space="0" w:color="auto"/>
      </w:divBdr>
    </w:div>
    <w:div w:id="1353416438">
      <w:bodyDiv w:val="1"/>
      <w:marLeft w:val="0"/>
      <w:marRight w:val="0"/>
      <w:marTop w:val="0"/>
      <w:marBottom w:val="0"/>
      <w:divBdr>
        <w:top w:val="none" w:sz="0" w:space="0" w:color="auto"/>
        <w:left w:val="none" w:sz="0" w:space="0" w:color="auto"/>
        <w:bottom w:val="none" w:sz="0" w:space="0" w:color="auto"/>
        <w:right w:val="none" w:sz="0" w:space="0" w:color="auto"/>
      </w:divBdr>
    </w:div>
    <w:div w:id="1387334937">
      <w:bodyDiv w:val="1"/>
      <w:marLeft w:val="0"/>
      <w:marRight w:val="0"/>
      <w:marTop w:val="0"/>
      <w:marBottom w:val="0"/>
      <w:divBdr>
        <w:top w:val="none" w:sz="0" w:space="0" w:color="auto"/>
        <w:left w:val="none" w:sz="0" w:space="0" w:color="auto"/>
        <w:bottom w:val="none" w:sz="0" w:space="0" w:color="auto"/>
        <w:right w:val="none" w:sz="0" w:space="0" w:color="auto"/>
      </w:divBdr>
    </w:div>
    <w:div w:id="1395002918">
      <w:bodyDiv w:val="1"/>
      <w:marLeft w:val="0"/>
      <w:marRight w:val="0"/>
      <w:marTop w:val="0"/>
      <w:marBottom w:val="0"/>
      <w:divBdr>
        <w:top w:val="none" w:sz="0" w:space="0" w:color="auto"/>
        <w:left w:val="none" w:sz="0" w:space="0" w:color="auto"/>
        <w:bottom w:val="none" w:sz="0" w:space="0" w:color="auto"/>
        <w:right w:val="none" w:sz="0" w:space="0" w:color="auto"/>
      </w:divBdr>
    </w:div>
    <w:div w:id="1436173308">
      <w:bodyDiv w:val="1"/>
      <w:marLeft w:val="0"/>
      <w:marRight w:val="0"/>
      <w:marTop w:val="0"/>
      <w:marBottom w:val="0"/>
      <w:divBdr>
        <w:top w:val="none" w:sz="0" w:space="0" w:color="auto"/>
        <w:left w:val="none" w:sz="0" w:space="0" w:color="auto"/>
        <w:bottom w:val="none" w:sz="0" w:space="0" w:color="auto"/>
        <w:right w:val="none" w:sz="0" w:space="0" w:color="auto"/>
      </w:divBdr>
    </w:div>
    <w:div w:id="1469083290">
      <w:bodyDiv w:val="1"/>
      <w:marLeft w:val="0"/>
      <w:marRight w:val="0"/>
      <w:marTop w:val="0"/>
      <w:marBottom w:val="0"/>
      <w:divBdr>
        <w:top w:val="none" w:sz="0" w:space="0" w:color="auto"/>
        <w:left w:val="none" w:sz="0" w:space="0" w:color="auto"/>
        <w:bottom w:val="none" w:sz="0" w:space="0" w:color="auto"/>
        <w:right w:val="none" w:sz="0" w:space="0" w:color="auto"/>
      </w:divBdr>
    </w:div>
    <w:div w:id="1479999727">
      <w:bodyDiv w:val="1"/>
      <w:marLeft w:val="0"/>
      <w:marRight w:val="0"/>
      <w:marTop w:val="0"/>
      <w:marBottom w:val="0"/>
      <w:divBdr>
        <w:top w:val="none" w:sz="0" w:space="0" w:color="auto"/>
        <w:left w:val="none" w:sz="0" w:space="0" w:color="auto"/>
        <w:bottom w:val="none" w:sz="0" w:space="0" w:color="auto"/>
        <w:right w:val="none" w:sz="0" w:space="0" w:color="auto"/>
      </w:divBdr>
    </w:div>
    <w:div w:id="1556816726">
      <w:bodyDiv w:val="1"/>
      <w:marLeft w:val="0"/>
      <w:marRight w:val="0"/>
      <w:marTop w:val="0"/>
      <w:marBottom w:val="0"/>
      <w:divBdr>
        <w:top w:val="none" w:sz="0" w:space="0" w:color="auto"/>
        <w:left w:val="none" w:sz="0" w:space="0" w:color="auto"/>
        <w:bottom w:val="none" w:sz="0" w:space="0" w:color="auto"/>
        <w:right w:val="none" w:sz="0" w:space="0" w:color="auto"/>
      </w:divBdr>
    </w:div>
    <w:div w:id="1565991047">
      <w:bodyDiv w:val="1"/>
      <w:marLeft w:val="0"/>
      <w:marRight w:val="0"/>
      <w:marTop w:val="0"/>
      <w:marBottom w:val="0"/>
      <w:divBdr>
        <w:top w:val="none" w:sz="0" w:space="0" w:color="auto"/>
        <w:left w:val="none" w:sz="0" w:space="0" w:color="auto"/>
        <w:bottom w:val="none" w:sz="0" w:space="0" w:color="auto"/>
        <w:right w:val="none" w:sz="0" w:space="0" w:color="auto"/>
      </w:divBdr>
    </w:div>
    <w:div w:id="1604530903">
      <w:bodyDiv w:val="1"/>
      <w:marLeft w:val="0"/>
      <w:marRight w:val="0"/>
      <w:marTop w:val="0"/>
      <w:marBottom w:val="0"/>
      <w:divBdr>
        <w:top w:val="none" w:sz="0" w:space="0" w:color="auto"/>
        <w:left w:val="none" w:sz="0" w:space="0" w:color="auto"/>
        <w:bottom w:val="none" w:sz="0" w:space="0" w:color="auto"/>
        <w:right w:val="none" w:sz="0" w:space="0" w:color="auto"/>
      </w:divBdr>
    </w:div>
    <w:div w:id="1649245359">
      <w:bodyDiv w:val="1"/>
      <w:marLeft w:val="0"/>
      <w:marRight w:val="0"/>
      <w:marTop w:val="0"/>
      <w:marBottom w:val="0"/>
      <w:divBdr>
        <w:top w:val="none" w:sz="0" w:space="0" w:color="auto"/>
        <w:left w:val="none" w:sz="0" w:space="0" w:color="auto"/>
        <w:bottom w:val="none" w:sz="0" w:space="0" w:color="auto"/>
        <w:right w:val="none" w:sz="0" w:space="0" w:color="auto"/>
      </w:divBdr>
    </w:div>
    <w:div w:id="1766265548">
      <w:bodyDiv w:val="1"/>
      <w:marLeft w:val="0"/>
      <w:marRight w:val="0"/>
      <w:marTop w:val="0"/>
      <w:marBottom w:val="0"/>
      <w:divBdr>
        <w:top w:val="none" w:sz="0" w:space="0" w:color="auto"/>
        <w:left w:val="none" w:sz="0" w:space="0" w:color="auto"/>
        <w:bottom w:val="none" w:sz="0" w:space="0" w:color="auto"/>
        <w:right w:val="none" w:sz="0" w:space="0" w:color="auto"/>
      </w:divBdr>
    </w:div>
    <w:div w:id="1766538416">
      <w:bodyDiv w:val="1"/>
      <w:marLeft w:val="0"/>
      <w:marRight w:val="0"/>
      <w:marTop w:val="0"/>
      <w:marBottom w:val="0"/>
      <w:divBdr>
        <w:top w:val="none" w:sz="0" w:space="0" w:color="auto"/>
        <w:left w:val="none" w:sz="0" w:space="0" w:color="auto"/>
        <w:bottom w:val="none" w:sz="0" w:space="0" w:color="auto"/>
        <w:right w:val="none" w:sz="0" w:space="0" w:color="auto"/>
      </w:divBdr>
    </w:div>
    <w:div w:id="1938635054">
      <w:bodyDiv w:val="1"/>
      <w:marLeft w:val="0"/>
      <w:marRight w:val="0"/>
      <w:marTop w:val="0"/>
      <w:marBottom w:val="0"/>
      <w:divBdr>
        <w:top w:val="none" w:sz="0" w:space="0" w:color="auto"/>
        <w:left w:val="none" w:sz="0" w:space="0" w:color="auto"/>
        <w:bottom w:val="none" w:sz="0" w:space="0" w:color="auto"/>
        <w:right w:val="none" w:sz="0" w:space="0" w:color="auto"/>
      </w:divBdr>
    </w:div>
    <w:div w:id="1977174206">
      <w:bodyDiv w:val="1"/>
      <w:marLeft w:val="0"/>
      <w:marRight w:val="0"/>
      <w:marTop w:val="0"/>
      <w:marBottom w:val="0"/>
      <w:divBdr>
        <w:top w:val="none" w:sz="0" w:space="0" w:color="auto"/>
        <w:left w:val="none" w:sz="0" w:space="0" w:color="auto"/>
        <w:bottom w:val="none" w:sz="0" w:space="0" w:color="auto"/>
        <w:right w:val="none" w:sz="0" w:space="0" w:color="auto"/>
      </w:divBdr>
    </w:div>
    <w:div w:id="2008896735">
      <w:bodyDiv w:val="1"/>
      <w:marLeft w:val="0"/>
      <w:marRight w:val="0"/>
      <w:marTop w:val="0"/>
      <w:marBottom w:val="0"/>
      <w:divBdr>
        <w:top w:val="none" w:sz="0" w:space="0" w:color="auto"/>
        <w:left w:val="none" w:sz="0" w:space="0" w:color="auto"/>
        <w:bottom w:val="none" w:sz="0" w:space="0" w:color="auto"/>
        <w:right w:val="none" w:sz="0" w:space="0" w:color="auto"/>
      </w:divBdr>
    </w:div>
    <w:div w:id="2020348500">
      <w:bodyDiv w:val="1"/>
      <w:marLeft w:val="0"/>
      <w:marRight w:val="0"/>
      <w:marTop w:val="0"/>
      <w:marBottom w:val="0"/>
      <w:divBdr>
        <w:top w:val="none" w:sz="0" w:space="0" w:color="auto"/>
        <w:left w:val="none" w:sz="0" w:space="0" w:color="auto"/>
        <w:bottom w:val="none" w:sz="0" w:space="0" w:color="auto"/>
        <w:right w:val="none" w:sz="0" w:space="0" w:color="auto"/>
      </w:divBdr>
    </w:div>
    <w:div w:id="2083723024">
      <w:bodyDiv w:val="1"/>
      <w:marLeft w:val="0"/>
      <w:marRight w:val="0"/>
      <w:marTop w:val="0"/>
      <w:marBottom w:val="0"/>
      <w:divBdr>
        <w:top w:val="none" w:sz="0" w:space="0" w:color="auto"/>
        <w:left w:val="none" w:sz="0" w:space="0" w:color="auto"/>
        <w:bottom w:val="none" w:sz="0" w:space="0" w:color="auto"/>
        <w:right w:val="none" w:sz="0" w:space="0" w:color="auto"/>
      </w:divBdr>
    </w:div>
    <w:div w:id="20953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nimpact.org.uk/giforhealth/regis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Martyn (Somerset LMC)</dc:creator>
  <cp:lastModifiedBy>Mason Amanda (Roaming)</cp:lastModifiedBy>
  <cp:revision>2</cp:revision>
  <dcterms:created xsi:type="dcterms:W3CDTF">2020-04-29T11:02:00Z</dcterms:created>
  <dcterms:modified xsi:type="dcterms:W3CDTF">2020-04-29T11:02:00Z</dcterms:modified>
</cp:coreProperties>
</file>